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40" w:lineRule="exact"/>
        <w:jc w:val="left"/>
        <w:rPr>
          <w:rFonts w:eastAsia="宋体"/>
          <w:b/>
          <w:sz w:val="24"/>
          <w:szCs w:val="24"/>
          <w:lang w:val="zh-CN"/>
        </w:rPr>
      </w:pPr>
      <w:r>
        <w:rPr>
          <w:rFonts w:eastAsia="宋体"/>
          <w:b/>
          <w:sz w:val="24"/>
          <w:szCs w:val="24"/>
          <w:lang w:val="zh-CN"/>
        </w:rPr>
        <w:t>预案编号：</w:t>
      </w:r>
    </w:p>
    <w:p>
      <w:pPr>
        <w:spacing w:line="440" w:lineRule="exact"/>
        <w:jc w:val="left"/>
        <w:rPr>
          <w:rFonts w:eastAsia="宋体"/>
          <w:sz w:val="24"/>
          <w:szCs w:val="24"/>
        </w:rPr>
      </w:pPr>
      <w:r>
        <w:rPr>
          <w:rFonts w:eastAsia="宋体"/>
          <w:b/>
          <w:sz w:val="24"/>
          <w:szCs w:val="24"/>
          <w:lang w:val="zh-CN"/>
        </w:rPr>
        <w:t>版本号：</w:t>
      </w:r>
      <w:r>
        <w:rPr>
          <w:rFonts w:ascii="Times New Roman" w:hAnsi="Times New Roman" w:eastAsia="宋体" w:cs="Times New Roman"/>
          <w:b/>
          <w:sz w:val="24"/>
          <w:szCs w:val="24"/>
        </w:rPr>
        <w:t>2019年第一版</w:t>
      </w:r>
    </w:p>
    <w:p>
      <w:pPr>
        <w:snapToGrid w:val="0"/>
        <w:spacing w:line="480" w:lineRule="auto"/>
        <w:jc w:val="center"/>
        <w:rPr>
          <w:rFonts w:eastAsia="宋体"/>
          <w:b/>
          <w:bCs/>
          <w:sz w:val="24"/>
          <w:szCs w:val="24"/>
        </w:rPr>
      </w:pPr>
    </w:p>
    <w:p>
      <w:pPr>
        <w:pStyle w:val="2"/>
        <w:ind w:firstLine="496"/>
        <w:rPr>
          <w:rFonts w:ascii="Verdana" w:hAnsi="Verdana" w:eastAsia="仿宋_GB2312" w:cs="Verdana"/>
          <w:kern w:val="0"/>
        </w:rPr>
      </w:pPr>
    </w:p>
    <w:p>
      <w:pPr>
        <w:pStyle w:val="2"/>
        <w:ind w:firstLine="496"/>
        <w:rPr>
          <w:rFonts w:ascii="Verdana" w:hAnsi="Verdana" w:eastAsia="仿宋_GB2312" w:cs="Verdana"/>
          <w:kern w:val="0"/>
        </w:rPr>
      </w:pPr>
    </w:p>
    <w:p>
      <w:pPr>
        <w:snapToGrid w:val="0"/>
        <w:spacing w:line="480" w:lineRule="auto"/>
        <w:jc w:val="center"/>
        <w:rPr>
          <w:rFonts w:eastAsia="宋体"/>
          <w:b/>
          <w:sz w:val="44"/>
          <w:szCs w:val="44"/>
        </w:rPr>
      </w:pPr>
      <w:r>
        <w:rPr>
          <w:rFonts w:hint="eastAsia" w:eastAsia="宋体"/>
          <w:b/>
          <w:sz w:val="44"/>
          <w:szCs w:val="44"/>
        </w:rPr>
        <w:t>中国</w:t>
      </w:r>
      <w:r>
        <w:rPr>
          <w:rFonts w:hint="eastAsia" w:eastAsia="宋体"/>
          <w:b/>
          <w:sz w:val="44"/>
          <w:szCs w:val="44"/>
          <w:lang w:val="en-US" w:eastAsia="zh-CN"/>
        </w:rPr>
        <w:t>石油天然气</w:t>
      </w:r>
      <w:r>
        <w:rPr>
          <w:rFonts w:hint="eastAsia" w:eastAsia="宋体"/>
          <w:b/>
          <w:sz w:val="44"/>
          <w:szCs w:val="44"/>
        </w:rPr>
        <w:t>股份有限公司</w:t>
      </w:r>
    </w:p>
    <w:p>
      <w:pPr>
        <w:snapToGrid w:val="0"/>
        <w:spacing w:line="480" w:lineRule="auto"/>
        <w:jc w:val="center"/>
        <w:rPr>
          <w:rFonts w:eastAsia="宋体"/>
          <w:b/>
          <w:sz w:val="44"/>
          <w:szCs w:val="44"/>
        </w:rPr>
      </w:pPr>
      <w:r>
        <w:rPr>
          <w:rFonts w:hint="eastAsia" w:eastAsia="宋体"/>
          <w:b/>
          <w:sz w:val="44"/>
          <w:szCs w:val="44"/>
        </w:rPr>
        <w:t>江西南昌</w:t>
      </w:r>
      <w:r>
        <w:rPr>
          <w:rFonts w:hint="eastAsia" w:eastAsia="宋体"/>
          <w:b/>
          <w:sz w:val="44"/>
          <w:szCs w:val="44"/>
          <w:lang w:val="en-US" w:eastAsia="zh-CN"/>
        </w:rPr>
        <w:t>双港大道</w:t>
      </w:r>
      <w:r>
        <w:rPr>
          <w:rFonts w:hint="eastAsia" w:eastAsia="宋体"/>
          <w:b/>
          <w:sz w:val="44"/>
          <w:szCs w:val="44"/>
        </w:rPr>
        <w:t>加油站</w:t>
      </w:r>
    </w:p>
    <w:p>
      <w:pPr>
        <w:snapToGrid w:val="0"/>
        <w:spacing w:line="480" w:lineRule="auto"/>
        <w:jc w:val="center"/>
        <w:rPr>
          <w:rFonts w:eastAsia="宋体"/>
          <w:b/>
          <w:bCs/>
          <w:sz w:val="32"/>
          <w:szCs w:val="32"/>
        </w:rPr>
      </w:pPr>
      <w:r>
        <w:rPr>
          <w:rFonts w:eastAsia="宋体"/>
          <w:b/>
          <w:bCs/>
          <w:sz w:val="44"/>
          <w:szCs w:val="44"/>
        </w:rPr>
        <w:t>突发环境事件应急预案</w:t>
      </w:r>
    </w:p>
    <w:p>
      <w:pPr>
        <w:pStyle w:val="2"/>
        <w:ind w:firstLine="496"/>
        <w:rPr>
          <w:rFonts w:ascii="Times New Roman" w:hAnsi="Times New Roman" w:eastAsia="宋体"/>
          <w:szCs w:val="24"/>
          <w:lang w:val="zh-CN"/>
        </w:rPr>
      </w:pPr>
    </w:p>
    <w:p>
      <w:pPr>
        <w:pStyle w:val="2"/>
        <w:ind w:firstLine="496"/>
        <w:rPr>
          <w:rFonts w:ascii="Times New Roman" w:hAnsi="Times New Roman" w:eastAsia="宋体"/>
          <w:szCs w:val="24"/>
          <w:lang w:val="zh-CN"/>
        </w:rPr>
      </w:pPr>
    </w:p>
    <w:p>
      <w:pPr>
        <w:pStyle w:val="2"/>
        <w:ind w:firstLine="0" w:firstLineChars="0"/>
        <w:rPr>
          <w:rFonts w:ascii="Times New Roman" w:hAnsi="Times New Roman" w:eastAsia="宋体"/>
          <w:szCs w:val="24"/>
          <w:lang w:val="zh-CN"/>
        </w:rPr>
      </w:pPr>
    </w:p>
    <w:p>
      <w:pPr>
        <w:rPr>
          <w:rFonts w:ascii="Verdana" w:hAnsi="Verdana" w:eastAsia="仿宋_GB2312" w:cs="Verdana"/>
          <w:kern w:val="0"/>
          <w:sz w:val="24"/>
          <w:lang w:val="zh-CN"/>
        </w:rPr>
      </w:pPr>
    </w:p>
    <w:p>
      <w:pPr>
        <w:pStyle w:val="2"/>
        <w:ind w:firstLine="496"/>
        <w:rPr>
          <w:rFonts w:ascii="Verdana" w:hAnsi="Verdana" w:eastAsia="仿宋_GB2312" w:cs="Verdana"/>
          <w:kern w:val="0"/>
          <w:lang w:val="zh-CN"/>
        </w:rPr>
      </w:pPr>
    </w:p>
    <w:p>
      <w:pPr>
        <w:rPr>
          <w:rFonts w:ascii="Verdana" w:hAnsi="Verdana" w:eastAsia="仿宋_GB2312" w:cs="Verdana"/>
          <w:kern w:val="0"/>
          <w:sz w:val="24"/>
          <w:lang w:val="zh-CN"/>
        </w:rPr>
      </w:pPr>
    </w:p>
    <w:p>
      <w:pPr>
        <w:pStyle w:val="2"/>
        <w:ind w:firstLine="496"/>
        <w:rPr>
          <w:rFonts w:ascii="Verdana" w:hAnsi="Verdana" w:eastAsia="仿宋_GB2312" w:cs="Verdana"/>
          <w:kern w:val="0"/>
          <w:lang w:val="zh-CN"/>
        </w:rPr>
      </w:pPr>
    </w:p>
    <w:p>
      <w:pPr>
        <w:rPr>
          <w:rFonts w:ascii="Verdana" w:hAnsi="Verdana" w:eastAsia="仿宋_GB2312" w:cs="Verdana"/>
          <w:kern w:val="0"/>
          <w:sz w:val="24"/>
          <w:lang w:val="zh-CN"/>
        </w:rPr>
      </w:pPr>
    </w:p>
    <w:p>
      <w:pPr>
        <w:pStyle w:val="2"/>
        <w:ind w:firstLine="496"/>
        <w:rPr>
          <w:rFonts w:ascii="Verdana" w:hAnsi="Verdana" w:eastAsia="仿宋_GB2312" w:cs="Verdana"/>
          <w:kern w:val="0"/>
          <w:lang w:val="zh-CN"/>
        </w:rPr>
      </w:pPr>
    </w:p>
    <w:p>
      <w:pPr>
        <w:pStyle w:val="2"/>
        <w:ind w:firstLine="0" w:firstLineChars="0"/>
        <w:rPr>
          <w:rFonts w:ascii="Verdana" w:hAnsi="Verdana" w:eastAsia="仿宋_GB2312" w:cs="Verdana"/>
          <w:kern w:val="0"/>
          <w:lang w:val="zh-CN"/>
        </w:rPr>
      </w:pPr>
    </w:p>
    <w:p>
      <w:pPr>
        <w:ind w:firstLine="420"/>
        <w:rPr>
          <w:rFonts w:eastAsia="宋体"/>
          <w:b/>
          <w:sz w:val="32"/>
          <w:szCs w:val="32"/>
          <w:lang w:val="zh-CN"/>
        </w:rPr>
      </w:pPr>
      <w:r>
        <w:rPr>
          <w:rFonts w:hint="eastAsia" w:eastAsia="宋体"/>
          <w:b/>
          <w:sz w:val="32"/>
          <w:szCs w:val="32"/>
          <w:lang w:val="zh-CN"/>
        </w:rPr>
        <w:t>建设</w:t>
      </w:r>
      <w:r>
        <w:rPr>
          <w:rFonts w:eastAsia="宋体"/>
          <w:b/>
          <w:sz w:val="32"/>
          <w:szCs w:val="32"/>
          <w:lang w:val="zh-CN"/>
        </w:rPr>
        <w:t>单位：</w:t>
      </w:r>
      <w:r>
        <w:rPr>
          <w:rFonts w:hint="eastAsia" w:eastAsia="宋体"/>
          <w:b/>
          <w:sz w:val="32"/>
          <w:szCs w:val="32"/>
          <w:lang w:val="zh-CN"/>
        </w:rPr>
        <w:t>中国</w:t>
      </w:r>
      <w:r>
        <w:rPr>
          <w:rFonts w:hint="eastAsia" w:eastAsia="宋体"/>
          <w:b/>
          <w:sz w:val="32"/>
          <w:szCs w:val="32"/>
          <w:lang w:val="en-US" w:eastAsia="zh-CN"/>
        </w:rPr>
        <w:t>石油天然气</w:t>
      </w:r>
      <w:r>
        <w:rPr>
          <w:rFonts w:hint="eastAsia" w:eastAsia="宋体"/>
          <w:b/>
          <w:sz w:val="32"/>
          <w:szCs w:val="32"/>
          <w:lang w:val="zh-CN"/>
        </w:rPr>
        <w:t>股份有限公司</w:t>
      </w:r>
    </w:p>
    <w:p>
      <w:pPr>
        <w:snapToGrid w:val="0"/>
        <w:spacing w:line="480" w:lineRule="auto"/>
        <w:jc w:val="center"/>
        <w:rPr>
          <w:rFonts w:eastAsia="宋体"/>
          <w:b/>
          <w:sz w:val="32"/>
          <w:szCs w:val="32"/>
          <w:lang w:val="zh-CN"/>
        </w:rPr>
      </w:pPr>
      <w:r>
        <w:rPr>
          <w:rFonts w:hint="eastAsia" w:eastAsia="宋体"/>
          <w:b/>
          <w:sz w:val="32"/>
          <w:szCs w:val="32"/>
          <w:lang w:val="zh-CN"/>
        </w:rPr>
        <w:t>江西南昌</w:t>
      </w:r>
      <w:r>
        <w:rPr>
          <w:rFonts w:hint="eastAsia" w:eastAsia="宋体"/>
          <w:b/>
          <w:sz w:val="32"/>
          <w:szCs w:val="32"/>
          <w:lang w:val="en-US" w:eastAsia="zh-CN"/>
        </w:rPr>
        <w:t>双港大道</w:t>
      </w:r>
      <w:r>
        <w:rPr>
          <w:rFonts w:hint="eastAsia" w:eastAsia="宋体"/>
          <w:b/>
          <w:sz w:val="32"/>
          <w:szCs w:val="32"/>
          <w:lang w:val="zh-CN"/>
        </w:rPr>
        <w:t>加油站</w:t>
      </w:r>
    </w:p>
    <w:p>
      <w:pPr>
        <w:ind w:firstLine="2088" w:firstLineChars="650"/>
        <w:rPr>
          <w:rFonts w:eastAsia="宋体"/>
          <w:b/>
          <w:sz w:val="32"/>
          <w:szCs w:val="32"/>
          <w:lang w:val="zh-CN"/>
        </w:rPr>
      </w:pPr>
    </w:p>
    <w:p>
      <w:pPr>
        <w:pStyle w:val="2"/>
        <w:ind w:firstLine="0" w:firstLineChars="0"/>
        <w:rPr>
          <w:rFonts w:ascii="Times New Roman" w:hAnsi="Times New Roman" w:eastAsia="宋体"/>
          <w:szCs w:val="24"/>
        </w:rPr>
      </w:pPr>
    </w:p>
    <w:p>
      <w:pPr>
        <w:rPr>
          <w:rFonts w:eastAsia="宋体"/>
          <w:b/>
          <w:sz w:val="24"/>
          <w:szCs w:val="24"/>
        </w:rPr>
      </w:pPr>
    </w:p>
    <w:p>
      <w:pPr>
        <w:spacing w:line="500" w:lineRule="exact"/>
        <w:jc w:val="center"/>
        <w:rPr>
          <w:rFonts w:hAnsi="宋体" w:eastAsia="宋体"/>
          <w:b/>
          <w:bCs/>
          <w:sz w:val="32"/>
          <w:szCs w:val="32"/>
        </w:rPr>
      </w:pPr>
      <w:r>
        <w:rPr>
          <w:rFonts w:hAnsi="宋体" w:eastAsia="宋体"/>
          <w:b/>
          <w:bCs/>
          <w:sz w:val="32"/>
          <w:szCs w:val="32"/>
        </w:rPr>
        <w:t>编制日期：</w:t>
      </w:r>
      <w:r>
        <w:rPr>
          <w:rFonts w:eastAsia="宋体"/>
          <w:b/>
          <w:bCs/>
          <w:sz w:val="32"/>
          <w:szCs w:val="32"/>
        </w:rPr>
        <w:t>201</w:t>
      </w:r>
      <w:r>
        <w:rPr>
          <w:rFonts w:hint="eastAsia" w:eastAsia="宋体"/>
          <w:b/>
          <w:bCs/>
          <w:sz w:val="32"/>
          <w:szCs w:val="32"/>
        </w:rPr>
        <w:t>9</w:t>
      </w:r>
      <w:r>
        <w:rPr>
          <w:rFonts w:hAnsi="宋体" w:eastAsia="宋体"/>
          <w:b/>
          <w:bCs/>
          <w:sz w:val="32"/>
          <w:szCs w:val="32"/>
        </w:rPr>
        <w:t>年</w:t>
      </w:r>
      <w:r>
        <w:rPr>
          <w:rFonts w:hint="eastAsia" w:hAnsi="宋体" w:eastAsia="宋体"/>
          <w:b/>
          <w:bCs/>
          <w:sz w:val="32"/>
          <w:szCs w:val="32"/>
          <w:lang w:val="en-US" w:eastAsia="zh-CN"/>
        </w:rPr>
        <w:t>10</w:t>
      </w:r>
      <w:r>
        <w:rPr>
          <w:rFonts w:hAnsi="宋体" w:eastAsia="宋体"/>
          <w:b/>
          <w:bCs/>
          <w:sz w:val="32"/>
          <w:szCs w:val="32"/>
        </w:rPr>
        <w:t>月</w:t>
      </w:r>
    </w:p>
    <w:p>
      <w:r>
        <w:rPr>
          <w:rFonts w:hAnsi="宋体" w:eastAsia="宋体"/>
          <w:b/>
          <w:bCs/>
          <w:sz w:val="32"/>
          <w:szCs w:val="32"/>
        </w:rPr>
        <w:br w:type="page"/>
      </w:r>
    </w:p>
    <w:p>
      <w:pPr>
        <w:spacing w:line="500" w:lineRule="exact"/>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《中国</w:t>
      </w:r>
      <w:r>
        <w:rPr>
          <w:rFonts w:hint="eastAsia" w:ascii="Times New Roman" w:hAnsi="Times New Roman" w:cs="Times New Roman"/>
          <w:b/>
          <w:color w:val="000000" w:themeColor="text1"/>
          <w:sz w:val="24"/>
          <w:szCs w:val="24"/>
          <w:lang w:val="en-US" w:eastAsia="zh-CN"/>
        </w:rPr>
        <w:t>石油天然气</w:t>
      </w:r>
      <w:r>
        <w:rPr>
          <w:rFonts w:ascii="Times New Roman" w:hAnsi="Times New Roman" w:cs="Times New Roman"/>
          <w:b/>
          <w:color w:val="000000" w:themeColor="text1"/>
          <w:sz w:val="24"/>
          <w:szCs w:val="24"/>
        </w:rPr>
        <w:t>股份有限公司江西南昌</w:t>
      </w:r>
      <w:r>
        <w:rPr>
          <w:rFonts w:hint="eastAsia" w:ascii="Times New Roman" w:hAnsi="Times New Roman" w:cs="Times New Roman"/>
          <w:b/>
          <w:color w:val="000000" w:themeColor="text1"/>
          <w:sz w:val="24"/>
          <w:szCs w:val="24"/>
          <w:lang w:val="en-US" w:eastAsia="zh-CN"/>
        </w:rPr>
        <w:t>双港大道</w:t>
      </w:r>
      <w:r>
        <w:rPr>
          <w:rFonts w:ascii="Times New Roman" w:hAnsi="Times New Roman" w:cs="Times New Roman"/>
          <w:b/>
          <w:color w:val="000000" w:themeColor="text1"/>
          <w:sz w:val="24"/>
          <w:szCs w:val="24"/>
        </w:rPr>
        <w:t>加油站</w:t>
      </w:r>
    </w:p>
    <w:p>
      <w:pPr>
        <w:spacing w:line="500" w:lineRule="exact"/>
        <w:jc w:val="cente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突发环境事件应急预案》编制说明</w:t>
      </w:r>
    </w:p>
    <w:p>
      <w:pPr>
        <w:rPr>
          <w:rFonts w:ascii="Times New Roman" w:hAnsi="Times New Roman" w:cs="Times New Roman"/>
          <w:b/>
          <w:color w:val="000000" w:themeColor="text1"/>
          <w:sz w:val="24"/>
          <w:szCs w:val="24"/>
        </w:rPr>
      </w:pPr>
    </w:p>
    <w:p>
      <w:pPr>
        <w:spacing w:line="500" w:lineRule="exact"/>
        <w:ind w:firstLine="482" w:firstLineChars="200"/>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一、加油站简介</w:t>
      </w:r>
    </w:p>
    <w:p>
      <w:pPr>
        <w:autoSpaceDN w:val="0"/>
        <w:spacing w:line="500" w:lineRule="exact"/>
        <w:ind w:firstLine="480" w:firstLineChars="200"/>
        <w:jc w:val="left"/>
        <w:rPr>
          <w:rFonts w:ascii="Times New Roman" w:hAnsi="Times New Roman" w:cs="Times New Roman"/>
          <w:color w:val="000000" w:themeColor="text1"/>
          <w:sz w:val="24"/>
          <w:szCs w:val="24"/>
        </w:rPr>
      </w:pPr>
      <w:bookmarkStart w:id="0" w:name="_Hlk11342536"/>
      <w:r>
        <w:rPr>
          <w:rFonts w:ascii="Times New Roman" w:hAnsi="Times New Roman" w:cs="Times New Roman"/>
          <w:color w:val="000000" w:themeColor="text1"/>
          <w:sz w:val="24"/>
          <w:szCs w:val="24"/>
        </w:rPr>
        <w:t>中国</w:t>
      </w:r>
      <w:r>
        <w:rPr>
          <w:rFonts w:hint="eastAsia" w:ascii="Times New Roman" w:hAnsi="Times New Roman" w:cs="Times New Roman"/>
          <w:color w:val="000000" w:themeColor="text1"/>
          <w:sz w:val="24"/>
          <w:szCs w:val="24"/>
          <w:lang w:val="en-US" w:eastAsia="zh-CN"/>
        </w:rPr>
        <w:t>石油天然气</w:t>
      </w:r>
      <w:r>
        <w:rPr>
          <w:rFonts w:ascii="Times New Roman" w:hAnsi="Times New Roman" w:cs="Times New Roman"/>
          <w:color w:val="000000" w:themeColor="text1"/>
          <w:sz w:val="24"/>
          <w:szCs w:val="24"/>
        </w:rPr>
        <w:t>股份有限公司江西南昌</w:t>
      </w:r>
      <w:r>
        <w:rPr>
          <w:rFonts w:hint="eastAsia" w:ascii="Times New Roman" w:hAnsi="Times New Roman" w:cs="Times New Roman"/>
          <w:color w:val="000000" w:themeColor="text1"/>
          <w:sz w:val="24"/>
          <w:szCs w:val="24"/>
          <w:lang w:val="en-US" w:eastAsia="zh-CN"/>
        </w:rPr>
        <w:t>双港大道</w:t>
      </w:r>
      <w:r>
        <w:rPr>
          <w:rFonts w:ascii="Times New Roman" w:hAnsi="Times New Roman" w:cs="Times New Roman"/>
          <w:color w:val="000000" w:themeColor="text1"/>
          <w:sz w:val="24"/>
          <w:szCs w:val="24"/>
        </w:rPr>
        <w:t>加油站</w:t>
      </w:r>
      <w:bookmarkEnd w:id="0"/>
      <w:r>
        <w:rPr>
          <w:rFonts w:ascii="Times New Roman" w:hAnsi="Times New Roman" w:cs="Times New Roman"/>
          <w:color w:val="000000" w:themeColor="text1"/>
          <w:sz w:val="24"/>
          <w:szCs w:val="24"/>
        </w:rPr>
        <w:t>位于</w:t>
      </w:r>
      <w:r>
        <w:rPr>
          <w:rFonts w:hint="eastAsia" w:asciiTheme="minorEastAsia" w:hAnsiTheme="minorEastAsia" w:eastAsiaTheme="minorEastAsia" w:cstheme="minorEastAsia"/>
          <w:color w:val="000000"/>
          <w:sz w:val="24"/>
          <w:szCs w:val="24"/>
        </w:rPr>
        <w:t>江西省南昌市</w:t>
      </w:r>
      <w:r>
        <w:rPr>
          <w:rStyle w:val="36"/>
          <w:rFonts w:hint="eastAsia" w:asciiTheme="minorEastAsia" w:hAnsiTheme="minorEastAsia" w:eastAsiaTheme="minorEastAsia" w:cstheme="minorEastAsia"/>
          <w:kern w:val="0"/>
          <w:sz w:val="24"/>
          <w:szCs w:val="24"/>
        </w:rPr>
        <w:t>双港大道与庐山大道交汇处</w:t>
      </w:r>
      <w:r>
        <w:rPr>
          <w:rFonts w:ascii="Times New Roman" w:hAnsi="Times New Roman" w:cs="Times New Roman"/>
          <w:color w:val="000000" w:themeColor="text1"/>
          <w:sz w:val="24"/>
          <w:szCs w:val="24"/>
        </w:rPr>
        <w:t>，</w:t>
      </w:r>
      <w:bookmarkStart w:id="1" w:name="_Hlk11939675"/>
      <w:r>
        <w:rPr>
          <w:rFonts w:ascii="Times New Roman" w:hAnsi="Times New Roman" w:cs="Times New Roman"/>
          <w:color w:val="000000" w:themeColor="text1"/>
          <w:sz w:val="24"/>
          <w:szCs w:val="24"/>
        </w:rPr>
        <w:t>目前项目已获得由南昌</w:t>
      </w:r>
      <w:r>
        <w:rPr>
          <w:rFonts w:hint="eastAsia" w:ascii="Times New Roman" w:hAnsi="Times New Roman" w:cs="Times New Roman"/>
          <w:color w:val="000000" w:themeColor="text1"/>
          <w:sz w:val="24"/>
          <w:szCs w:val="24"/>
          <w:lang w:val="en-US" w:eastAsia="zh-CN"/>
        </w:rPr>
        <w:t>市</w:t>
      </w:r>
      <w:r>
        <w:rPr>
          <w:rFonts w:ascii="Times New Roman" w:hAnsi="Times New Roman" w:cs="Times New Roman"/>
          <w:color w:val="000000" w:themeColor="text1"/>
          <w:sz w:val="24"/>
          <w:szCs w:val="24"/>
        </w:rPr>
        <w:t>市场和质量监督管理局下发的“营业执照”（统一社会信用</w:t>
      </w:r>
      <w:r>
        <w:rPr>
          <w:rFonts w:ascii="Times New Roman" w:hAnsi="Times New Roman" w:cs="Times New Roman"/>
          <w:sz w:val="24"/>
          <w:szCs w:val="24"/>
        </w:rPr>
        <w:t>代码为</w:t>
      </w:r>
      <w:r>
        <w:rPr>
          <w:rFonts w:hint="default" w:ascii="Times New Roman" w:hAnsi="Times New Roman" w:eastAsia="微软雅黑" w:cs="Times New Roman"/>
          <w:i w:val="0"/>
          <w:caps w:val="0"/>
          <w:color w:val="333333"/>
          <w:spacing w:val="0"/>
          <w:sz w:val="24"/>
          <w:szCs w:val="24"/>
          <w:shd w:val="clear" w:fill="FFFFFF"/>
        </w:rPr>
        <w:t>91360108586552573N</w:t>
      </w:r>
      <w:r>
        <w:rPr>
          <w:rFonts w:ascii="Times New Roman" w:hAnsi="Times New Roman" w:cs="Times New Roman"/>
          <w:sz w:val="24"/>
          <w:szCs w:val="24"/>
        </w:rPr>
        <w:t>），江西省商务厅下发的“成品油零售经营批准证书”（油零售证书第赣A</w:t>
      </w:r>
      <w:r>
        <w:rPr>
          <w:rFonts w:hint="eastAsia" w:ascii="Times New Roman" w:hAnsi="Times New Roman" w:cs="Times New Roman"/>
          <w:sz w:val="24"/>
          <w:szCs w:val="24"/>
          <w:lang w:val="en-US" w:eastAsia="zh-CN"/>
        </w:rPr>
        <w:t>10</w:t>
      </w:r>
      <w:r>
        <w:rPr>
          <w:rFonts w:ascii="Times New Roman" w:hAnsi="Times New Roman" w:cs="Times New Roman"/>
          <w:sz w:val="24"/>
          <w:szCs w:val="24"/>
        </w:rPr>
        <w:t>-</w:t>
      </w:r>
      <w:r>
        <w:rPr>
          <w:rFonts w:hint="eastAsia" w:ascii="Times New Roman" w:hAnsi="Times New Roman" w:cs="Times New Roman"/>
          <w:sz w:val="24"/>
          <w:szCs w:val="24"/>
          <w:lang w:val="en-US" w:eastAsia="zh-CN"/>
        </w:rPr>
        <w:t>42218</w:t>
      </w:r>
      <w:r>
        <w:rPr>
          <w:rFonts w:ascii="Times New Roman" w:hAnsi="Times New Roman" w:cs="Times New Roman"/>
          <w:sz w:val="24"/>
          <w:szCs w:val="24"/>
        </w:rPr>
        <w:t>号），南昌市安全生产监督管理局下发的“危险化学品经营许可证”（赣</w:t>
      </w:r>
      <w:r>
        <w:rPr>
          <w:rFonts w:hint="eastAsia" w:ascii="Times New Roman" w:hAnsi="Times New Roman" w:cs="Times New Roman"/>
          <w:sz w:val="24"/>
          <w:szCs w:val="24"/>
        </w:rPr>
        <w:t>洪安经（甲）</w:t>
      </w:r>
      <w:r>
        <w:rPr>
          <w:rFonts w:ascii="Times New Roman" w:hAnsi="Times New Roman" w:cs="Times New Roman"/>
          <w:sz w:val="24"/>
          <w:szCs w:val="24"/>
        </w:rPr>
        <w:t>字</w:t>
      </w:r>
      <w:r>
        <w:rPr>
          <w:rFonts w:hint="default" w:ascii="Times New Roman" w:hAnsi="Times New Roman" w:cs="Times New Roman"/>
          <w:sz w:val="24"/>
        </w:rPr>
        <w:t>[201</w:t>
      </w:r>
      <w:r>
        <w:rPr>
          <w:rFonts w:hint="eastAsia" w:ascii="Times New Roman" w:hAnsi="Times New Roman" w:cs="Times New Roman"/>
          <w:sz w:val="24"/>
          <w:lang w:val="en-US" w:eastAsia="zh-CN"/>
        </w:rPr>
        <w:t>7</w:t>
      </w:r>
      <w:r>
        <w:rPr>
          <w:rFonts w:hint="default" w:ascii="Times New Roman" w:hAnsi="Times New Roman" w:cs="Times New Roman"/>
          <w:sz w:val="24"/>
        </w:rPr>
        <w:t>]00</w:t>
      </w:r>
      <w:r>
        <w:rPr>
          <w:rFonts w:hint="eastAsia" w:ascii="Times New Roman" w:hAnsi="Times New Roman" w:cs="Times New Roman"/>
          <w:sz w:val="24"/>
          <w:lang w:val="en-US" w:eastAsia="zh-CN"/>
        </w:rPr>
        <w:t>11</w:t>
      </w:r>
      <w:r>
        <w:rPr>
          <w:rFonts w:ascii="Times New Roman" w:hAnsi="Times New Roman" w:cs="Times New Roman"/>
          <w:sz w:val="24"/>
          <w:szCs w:val="24"/>
        </w:rPr>
        <w:t>号）。</w:t>
      </w:r>
      <w:bookmarkEnd w:id="1"/>
      <w:r>
        <w:rPr>
          <w:rFonts w:ascii="Times New Roman" w:hAnsi="Times New Roman" w:cs="Times New Roman"/>
          <w:sz w:val="24"/>
          <w:szCs w:val="24"/>
        </w:rPr>
        <w:t>加油站</w:t>
      </w:r>
      <w:r>
        <w:rPr>
          <w:rFonts w:ascii="Times New Roman" w:hAnsi="Times New Roman" w:cs="Times New Roman"/>
          <w:color w:val="000000" w:themeColor="text1"/>
          <w:sz w:val="24"/>
          <w:szCs w:val="24"/>
        </w:rPr>
        <w:t>总占地面积约为</w:t>
      </w:r>
      <w:r>
        <w:rPr>
          <w:rFonts w:hint="eastAsia" w:ascii="Times New Roman" w:hAnsi="Times New Roman" w:cs="Times New Roman"/>
          <w:color w:val="000000"/>
          <w:sz w:val="24"/>
          <w:lang w:val="en-US" w:eastAsia="zh-CN"/>
        </w:rPr>
        <w:t>6400</w:t>
      </w:r>
      <w:r>
        <w:rPr>
          <w:rFonts w:hint="default" w:ascii="Times New Roman" w:hAnsi="Times New Roman" w:cs="Times New Roman"/>
          <w:color w:val="000000"/>
          <w:sz w:val="24"/>
        </w:rPr>
        <w:t>m</w:t>
      </w:r>
      <w:r>
        <w:rPr>
          <w:rFonts w:hint="default" w:ascii="Times New Roman" w:hAnsi="Times New Roman" w:cs="Times New Roman"/>
          <w:color w:val="000000"/>
          <w:sz w:val="24"/>
          <w:vertAlign w:val="superscript"/>
        </w:rPr>
        <w:t>2</w:t>
      </w:r>
      <w:r>
        <w:rPr>
          <w:rFonts w:ascii="Times New Roman" w:hAnsi="Times New Roman" w:cs="Times New Roman"/>
          <w:color w:val="000000" w:themeColor="text1"/>
          <w:sz w:val="24"/>
          <w:szCs w:val="24"/>
        </w:rPr>
        <w:t>，建筑面积约为</w:t>
      </w:r>
      <w:r>
        <w:rPr>
          <w:rFonts w:hint="default" w:ascii="Times New Roman" w:hAnsi="Times New Roman" w:cs="Times New Roman"/>
          <w:color w:val="000000" w:themeColor="text1"/>
          <w:sz w:val="24"/>
          <w:szCs w:val="24"/>
          <w:lang w:val="en-US" w:eastAsia="zh-CN"/>
        </w:rPr>
        <w:t>1</w:t>
      </w:r>
      <w:r>
        <w:rPr>
          <w:rFonts w:hint="eastAsia" w:ascii="Times New Roman" w:hAnsi="Times New Roman" w:cs="Times New Roman"/>
          <w:color w:val="000000" w:themeColor="text1"/>
          <w:sz w:val="24"/>
          <w:szCs w:val="24"/>
          <w:lang w:val="en-US" w:eastAsia="zh-CN"/>
        </w:rPr>
        <w:t>9</w:t>
      </w:r>
      <w:r>
        <w:rPr>
          <w:rFonts w:hint="default" w:ascii="Times New Roman" w:hAnsi="Times New Roman" w:cs="Times New Roman"/>
          <w:color w:val="000000"/>
          <w:sz w:val="24"/>
          <w:lang w:val="en-US" w:eastAsia="zh-CN"/>
        </w:rPr>
        <w:t>00</w:t>
      </w:r>
      <w:r>
        <w:rPr>
          <w:rFonts w:hint="default" w:ascii="Times New Roman" w:hAnsi="Times New Roman" w:cs="Times New Roman"/>
          <w:color w:val="000000"/>
          <w:sz w:val="24"/>
        </w:rPr>
        <w:t>m</w:t>
      </w:r>
      <w:r>
        <w:rPr>
          <w:rFonts w:hint="default" w:ascii="Times New Roman" w:hAnsi="Times New Roman" w:cs="Times New Roman"/>
          <w:color w:val="000000"/>
          <w:sz w:val="24"/>
          <w:vertAlign w:val="superscript"/>
        </w:rPr>
        <w:t>2</w:t>
      </w:r>
      <w:r>
        <w:rPr>
          <w:rFonts w:ascii="Times New Roman" w:hAnsi="Times New Roman" w:cs="Times New Roman"/>
          <w:color w:val="000000" w:themeColor="text1"/>
          <w:sz w:val="24"/>
          <w:szCs w:val="24"/>
        </w:rPr>
        <w:t>。项目主要分为三个区，分别为</w:t>
      </w:r>
      <w:r>
        <w:rPr>
          <w:rFonts w:hint="eastAsia" w:ascii="宋体" w:hAnsi="宋体" w:eastAsia="宋体" w:cs="宋体"/>
          <w:color w:val="000000" w:themeColor="text1"/>
          <w:sz w:val="24"/>
          <w:szCs w:val="24"/>
        </w:rPr>
        <w:t>①</w:t>
      </w:r>
      <w:r>
        <w:rPr>
          <w:rFonts w:ascii="Times New Roman" w:hAnsi="Times New Roman" w:cs="Times New Roman"/>
          <w:color w:val="000000" w:themeColor="text1"/>
          <w:sz w:val="24"/>
          <w:szCs w:val="24"/>
        </w:rPr>
        <w:t>储油罐区</w:t>
      </w:r>
      <w:r>
        <w:rPr>
          <w:rFonts w:hint="eastAsia" w:ascii="宋体" w:hAnsi="宋体" w:eastAsia="宋体" w:cs="宋体"/>
          <w:color w:val="000000" w:themeColor="text1"/>
          <w:sz w:val="24"/>
          <w:szCs w:val="24"/>
        </w:rPr>
        <w:t>②</w:t>
      </w:r>
      <w:r>
        <w:rPr>
          <w:rFonts w:ascii="Times New Roman" w:hAnsi="Times New Roman" w:cs="Times New Roman"/>
          <w:color w:val="000000" w:themeColor="text1"/>
          <w:sz w:val="24"/>
          <w:szCs w:val="24"/>
        </w:rPr>
        <w:t>营业区</w:t>
      </w:r>
      <w:r>
        <w:rPr>
          <w:rFonts w:hint="eastAsia" w:ascii="宋体" w:hAnsi="宋体" w:eastAsia="宋体" w:cs="宋体"/>
          <w:color w:val="000000" w:themeColor="text1"/>
          <w:sz w:val="24"/>
          <w:szCs w:val="24"/>
        </w:rPr>
        <w:t>③</w:t>
      </w:r>
      <w:r>
        <w:rPr>
          <w:rFonts w:ascii="Times New Roman" w:hAnsi="Times New Roman" w:cs="Times New Roman"/>
          <w:color w:val="000000" w:themeColor="text1"/>
          <w:sz w:val="24"/>
          <w:szCs w:val="24"/>
        </w:rPr>
        <w:t>加油区。储油罐区包括储罐区、卸油区；营业区包括站房、便利店、辅助用房及卫生间等；加油区即为加油机所在区。</w:t>
      </w:r>
      <w:bookmarkStart w:id="2" w:name="_Hlk11352631"/>
      <w:r>
        <w:rPr>
          <w:rFonts w:ascii="Times New Roman" w:hAnsi="Times New Roman" w:cs="Times New Roman"/>
          <w:color w:val="000000" w:themeColor="text1"/>
          <w:sz w:val="24"/>
          <w:szCs w:val="24"/>
        </w:rPr>
        <w:t>项目储罐区建设有</w:t>
      </w:r>
      <w:r>
        <w:rPr>
          <w:rFonts w:hint="eastAsia" w:ascii="Times New Roman" w:hAnsi="Times New Roman" w:cs="Times New Roman"/>
          <w:color w:val="000000" w:themeColor="text1"/>
          <w:sz w:val="24"/>
          <w:szCs w:val="24"/>
          <w:lang w:val="en-US" w:eastAsia="zh-CN"/>
        </w:rPr>
        <w:t>5</w:t>
      </w:r>
      <w:r>
        <w:rPr>
          <w:rFonts w:ascii="Times New Roman" w:hAnsi="Times New Roman" w:cs="Times New Roman"/>
          <w:color w:val="000000" w:themeColor="text1"/>
          <w:sz w:val="24"/>
          <w:szCs w:val="24"/>
        </w:rPr>
        <w:t>个地埋卧式油罐，包括0#柴油油罐</w:t>
      </w:r>
      <w:r>
        <w:rPr>
          <w:rFonts w:hint="eastAsia" w:ascii="Times New Roman" w:hAnsi="Times New Roman" w:cs="Times New Roman"/>
          <w:color w:val="000000" w:themeColor="text1"/>
          <w:sz w:val="24"/>
          <w:szCs w:val="24"/>
          <w:lang w:val="en-US" w:eastAsia="zh-CN"/>
        </w:rPr>
        <w:t>2</w:t>
      </w:r>
      <w:r>
        <w:rPr>
          <w:rFonts w:ascii="Times New Roman" w:hAnsi="Times New Roman" w:cs="Times New Roman"/>
          <w:color w:val="000000" w:themeColor="text1"/>
          <w:sz w:val="24"/>
          <w:szCs w:val="24"/>
        </w:rPr>
        <w:t>台、93#汽油油罐</w:t>
      </w:r>
      <w:r>
        <w:rPr>
          <w:rFonts w:hint="eastAsia" w:ascii="Times New Roman" w:hAnsi="Times New Roman" w:cs="Times New Roman"/>
          <w:color w:val="000000" w:themeColor="text1"/>
          <w:sz w:val="24"/>
          <w:szCs w:val="24"/>
          <w:lang w:val="en-US" w:eastAsia="zh-CN"/>
        </w:rPr>
        <w:t>2台</w:t>
      </w:r>
      <w:r>
        <w:rPr>
          <w:rFonts w:ascii="Times New Roman" w:hAnsi="Times New Roman" w:cs="Times New Roman"/>
          <w:color w:val="000000" w:themeColor="text1"/>
          <w:sz w:val="24"/>
          <w:szCs w:val="24"/>
        </w:rPr>
        <w:t>，9</w:t>
      </w:r>
      <w:r>
        <w:rPr>
          <w:rFonts w:hint="eastAsia" w:ascii="Times New Roman" w:hAnsi="Times New Roman" w:cs="Times New Roman"/>
          <w:color w:val="000000" w:themeColor="text1"/>
          <w:sz w:val="24"/>
          <w:szCs w:val="24"/>
          <w:lang w:val="en-US" w:eastAsia="zh-CN"/>
        </w:rPr>
        <w:t>7</w:t>
      </w:r>
      <w:r>
        <w:rPr>
          <w:rFonts w:ascii="Times New Roman" w:hAnsi="Times New Roman" w:cs="Times New Roman"/>
          <w:color w:val="000000" w:themeColor="text1"/>
          <w:sz w:val="24"/>
          <w:szCs w:val="24"/>
        </w:rPr>
        <w:t>#汽油油罐</w:t>
      </w:r>
      <w:r>
        <w:rPr>
          <w:rFonts w:hint="eastAsia" w:ascii="Times New Roman" w:hAnsi="Times New Roman" w:cs="Times New Roman"/>
          <w:color w:val="000000" w:themeColor="text1"/>
          <w:sz w:val="24"/>
          <w:szCs w:val="24"/>
          <w:lang w:val="en-US" w:eastAsia="zh-CN"/>
        </w:rPr>
        <w:t>1台</w:t>
      </w:r>
      <w:r>
        <w:rPr>
          <w:rFonts w:ascii="Times New Roman" w:hAnsi="Times New Roman" w:cs="Times New Roman"/>
          <w:color w:val="000000" w:themeColor="text1"/>
          <w:sz w:val="24"/>
          <w:szCs w:val="24"/>
        </w:rPr>
        <w:t>，总容积折合汽油罐容积为</w:t>
      </w:r>
      <w:r>
        <w:rPr>
          <w:rFonts w:hint="eastAsia" w:ascii="Times New Roman" w:hAnsi="Times New Roman" w:cs="Times New Roman"/>
          <w:color w:val="000000" w:themeColor="text1"/>
          <w:sz w:val="24"/>
          <w:szCs w:val="24"/>
          <w:lang w:val="en-US" w:eastAsia="zh-CN"/>
        </w:rPr>
        <w:t>120</w:t>
      </w:r>
      <w:r>
        <w:rPr>
          <w:rFonts w:ascii="Times New Roman" w:hAnsi="Times New Roman" w:cs="Times New Roman"/>
          <w:color w:val="000000" w:themeColor="text1"/>
          <w:sz w:val="24"/>
          <w:szCs w:val="24"/>
        </w:rPr>
        <w:t>m</w:t>
      </w:r>
      <w:r>
        <w:rPr>
          <w:rFonts w:ascii="Times New Roman" w:hAnsi="Times New Roman" w:cs="Times New Roman"/>
          <w:color w:val="000000" w:themeColor="text1"/>
          <w:sz w:val="24"/>
          <w:szCs w:val="24"/>
          <w:vertAlign w:val="superscript"/>
        </w:rPr>
        <w:t>3</w:t>
      </w:r>
      <w:r>
        <w:rPr>
          <w:rFonts w:hint="eastAsia" w:ascii="Times New Roman" w:hAnsi="Times New Roman" w:cs="Times New Roman"/>
          <w:color w:val="000000" w:themeColor="text1"/>
          <w:sz w:val="24"/>
          <w:szCs w:val="24"/>
          <w:lang w:eastAsia="zh-CN"/>
        </w:rPr>
        <w:t>（</w:t>
      </w:r>
      <w:r>
        <w:rPr>
          <w:rFonts w:hint="eastAsia" w:ascii="Times New Roman" w:hAnsi="Times New Roman" w:cs="Times New Roman"/>
          <w:color w:val="000000" w:themeColor="text1"/>
          <w:sz w:val="24"/>
          <w:szCs w:val="24"/>
          <w:lang w:val="en-US" w:eastAsia="zh-CN"/>
        </w:rPr>
        <w:t>柴油折半计算</w:t>
      </w:r>
      <w:r>
        <w:rPr>
          <w:rFonts w:hint="eastAsia"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rPr>
        <w:t>，为</w:t>
      </w:r>
      <w:r>
        <w:rPr>
          <w:rFonts w:hint="eastAsia" w:ascii="Times New Roman" w:hAnsi="Times New Roman" w:cs="Times New Roman"/>
          <w:color w:val="000000" w:themeColor="text1"/>
          <w:sz w:val="24"/>
          <w:szCs w:val="24"/>
          <w:lang w:val="en-US" w:eastAsia="zh-CN"/>
        </w:rPr>
        <w:t>二</w:t>
      </w:r>
      <w:r>
        <w:rPr>
          <w:rFonts w:ascii="Times New Roman" w:hAnsi="Times New Roman" w:cs="Times New Roman"/>
          <w:color w:val="000000" w:themeColor="text1"/>
          <w:sz w:val="24"/>
          <w:szCs w:val="24"/>
        </w:rPr>
        <w:t>级加油站</w:t>
      </w:r>
      <w:r>
        <w:rPr>
          <w:rFonts w:hint="eastAsia" w:ascii="Times New Roman" w:hAnsi="Times New Roman" w:cs="Times New Roman"/>
          <w:color w:val="000000" w:themeColor="text1"/>
          <w:sz w:val="24"/>
          <w:szCs w:val="24"/>
          <w:lang w:eastAsia="zh-CN"/>
        </w:rPr>
        <w:t>，</w:t>
      </w:r>
      <w:r>
        <w:rPr>
          <w:color w:val="000000"/>
          <w:sz w:val="24"/>
        </w:rPr>
        <w:t>配设</w:t>
      </w:r>
      <w:r>
        <w:rPr>
          <w:rFonts w:hint="default" w:ascii="Times New Roman" w:hAnsi="Times New Roman" w:cs="Times New Roman"/>
          <w:color w:val="000000"/>
          <w:sz w:val="24"/>
          <w:lang w:val="en-US" w:eastAsia="zh-CN"/>
        </w:rPr>
        <w:t>6</w:t>
      </w:r>
      <w:r>
        <w:rPr>
          <w:color w:val="000000"/>
          <w:sz w:val="24"/>
        </w:rPr>
        <w:t>台双枪加油机</w:t>
      </w:r>
      <w:r>
        <w:rPr>
          <w:rFonts w:ascii="Times New Roman" w:hAnsi="Times New Roman" w:cs="Times New Roman"/>
          <w:color w:val="000000" w:themeColor="text1"/>
          <w:sz w:val="24"/>
          <w:szCs w:val="24"/>
        </w:rPr>
        <w:t>。项目区设加油进出口2个。</w:t>
      </w:r>
      <w:bookmarkEnd w:id="2"/>
      <w:r>
        <w:rPr>
          <w:rFonts w:ascii="Times New Roman" w:hAnsi="Times New Roman" w:cs="Times New Roman"/>
          <w:color w:val="000000" w:themeColor="text1"/>
          <w:sz w:val="24"/>
          <w:szCs w:val="24"/>
        </w:rPr>
        <w:t>本项目营业范围包括：柴油、汽油等。</w:t>
      </w:r>
    </w:p>
    <w:p>
      <w:pPr>
        <w:autoSpaceDN w:val="0"/>
        <w:spacing w:line="500" w:lineRule="exact"/>
        <w:ind w:firstLine="480" w:firstLineChars="200"/>
        <w:jc w:val="lef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加油站有职工</w:t>
      </w:r>
      <w:r>
        <w:rPr>
          <w:rFonts w:hint="eastAsia" w:ascii="Times New Roman" w:hAnsi="Times New Roman" w:cs="Times New Roman"/>
          <w:color w:val="000000" w:themeColor="text1"/>
          <w:sz w:val="24"/>
          <w:szCs w:val="24"/>
          <w:lang w:val="en-US" w:eastAsia="zh-CN"/>
        </w:rPr>
        <w:t>10人</w:t>
      </w:r>
      <w:r>
        <w:rPr>
          <w:rFonts w:ascii="Times New Roman" w:hAnsi="Times New Roman" w:cs="Times New Roman"/>
          <w:color w:val="000000" w:themeColor="text1"/>
          <w:sz w:val="24"/>
          <w:szCs w:val="24"/>
        </w:rPr>
        <w:t>，站内设卫生间、宿舍，员工餐饮外购或自带；项目经营大车加水，不设置汽修、洗车等内容。加油站年工作365d，每天四班，每班6小时，每班1-2人。</w:t>
      </w:r>
    </w:p>
    <w:p>
      <w:pPr>
        <w:spacing w:line="500" w:lineRule="exact"/>
        <w:ind w:firstLine="482" w:firstLineChars="200"/>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二、应急预案编制过程概述</w:t>
      </w:r>
    </w:p>
    <w:p>
      <w:pPr>
        <w:autoSpaceDN w:val="0"/>
        <w:spacing w:line="500" w:lineRule="exact"/>
        <w:ind w:firstLine="480" w:firstLineChars="200"/>
        <w:jc w:val="lef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2019年</w:t>
      </w:r>
      <w:r>
        <w:rPr>
          <w:rFonts w:hint="eastAsia" w:ascii="Times New Roman" w:hAnsi="Times New Roman" w:cs="Times New Roman"/>
          <w:color w:val="000000" w:themeColor="text1"/>
          <w:sz w:val="24"/>
          <w:szCs w:val="24"/>
          <w:lang w:val="en-US" w:eastAsia="zh-CN"/>
        </w:rPr>
        <w:t>10</w:t>
      </w:r>
      <w:r>
        <w:rPr>
          <w:rFonts w:ascii="Times New Roman" w:hAnsi="Times New Roman" w:cs="Times New Roman"/>
          <w:color w:val="000000" w:themeColor="text1"/>
          <w:sz w:val="24"/>
          <w:szCs w:val="24"/>
        </w:rPr>
        <w:t>月</w:t>
      </w:r>
      <w:bookmarkStart w:id="3" w:name="_Hlk11342667"/>
      <w:r>
        <w:rPr>
          <w:rFonts w:ascii="Times New Roman" w:hAnsi="Times New Roman" w:cs="Times New Roman"/>
          <w:color w:val="000000" w:themeColor="text1"/>
          <w:sz w:val="24"/>
          <w:szCs w:val="24"/>
        </w:rPr>
        <w:t>中国</w:t>
      </w:r>
      <w:r>
        <w:rPr>
          <w:rFonts w:hint="eastAsia" w:ascii="Times New Roman" w:hAnsi="Times New Roman" w:cs="Times New Roman"/>
          <w:color w:val="000000" w:themeColor="text1"/>
          <w:sz w:val="24"/>
          <w:szCs w:val="24"/>
          <w:lang w:val="en-US" w:eastAsia="zh-CN"/>
        </w:rPr>
        <w:t>石油天然气</w:t>
      </w:r>
      <w:r>
        <w:rPr>
          <w:rFonts w:ascii="Times New Roman" w:hAnsi="Times New Roman" w:cs="Times New Roman"/>
          <w:color w:val="000000" w:themeColor="text1"/>
          <w:sz w:val="24"/>
          <w:szCs w:val="24"/>
        </w:rPr>
        <w:t>有限公司江西南昌</w:t>
      </w:r>
      <w:r>
        <w:rPr>
          <w:rFonts w:hint="eastAsia" w:ascii="Times New Roman" w:hAnsi="Times New Roman" w:cs="Times New Roman"/>
          <w:color w:val="000000" w:themeColor="text1"/>
          <w:sz w:val="24"/>
          <w:szCs w:val="24"/>
          <w:lang w:val="en-US" w:eastAsia="zh-CN"/>
        </w:rPr>
        <w:t>双港大道</w:t>
      </w:r>
      <w:r>
        <w:rPr>
          <w:rFonts w:ascii="Times New Roman" w:hAnsi="Times New Roman" w:cs="Times New Roman"/>
          <w:color w:val="000000" w:themeColor="text1"/>
          <w:sz w:val="24"/>
          <w:szCs w:val="24"/>
        </w:rPr>
        <w:t>加油站</w:t>
      </w:r>
      <w:bookmarkEnd w:id="3"/>
      <w:r>
        <w:rPr>
          <w:rFonts w:ascii="Times New Roman" w:hAnsi="Times New Roman" w:cs="Times New Roman"/>
          <w:color w:val="000000" w:themeColor="text1"/>
          <w:sz w:val="24"/>
          <w:szCs w:val="24"/>
        </w:rPr>
        <w:t>经内部调查及资料收集后，组织分公司相关人员并委托</w:t>
      </w:r>
      <w:r>
        <w:rPr>
          <w:rFonts w:hint="eastAsia" w:ascii="Times New Roman" w:hAnsi="Times New Roman" w:cs="Times New Roman"/>
          <w:color w:val="000000" w:themeColor="text1"/>
          <w:sz w:val="24"/>
          <w:szCs w:val="24"/>
          <w:lang w:eastAsia="zh-CN"/>
        </w:rPr>
        <w:t>南昌民圣环保服务有限公司</w:t>
      </w:r>
      <w:r>
        <w:rPr>
          <w:rFonts w:ascii="Times New Roman" w:hAnsi="Times New Roman" w:cs="Times New Roman"/>
          <w:color w:val="000000" w:themeColor="text1"/>
          <w:sz w:val="24"/>
          <w:szCs w:val="24"/>
        </w:rPr>
        <w:t>联合编制完成《中国</w:t>
      </w:r>
      <w:r>
        <w:rPr>
          <w:rFonts w:hint="eastAsia" w:ascii="Times New Roman" w:hAnsi="Times New Roman" w:cs="Times New Roman"/>
          <w:color w:val="000000" w:themeColor="text1"/>
          <w:sz w:val="24"/>
          <w:szCs w:val="24"/>
          <w:lang w:val="en-US" w:eastAsia="zh-CN"/>
        </w:rPr>
        <w:t>石油天然气</w:t>
      </w:r>
      <w:r>
        <w:rPr>
          <w:rFonts w:ascii="Times New Roman" w:hAnsi="Times New Roman" w:cs="Times New Roman"/>
          <w:color w:val="000000" w:themeColor="text1"/>
          <w:sz w:val="24"/>
          <w:szCs w:val="24"/>
        </w:rPr>
        <w:t>股份有限公司江西南昌</w:t>
      </w:r>
      <w:r>
        <w:rPr>
          <w:rFonts w:hint="eastAsia" w:ascii="Times New Roman" w:hAnsi="Times New Roman" w:cs="Times New Roman"/>
          <w:color w:val="000000" w:themeColor="text1"/>
          <w:sz w:val="24"/>
          <w:szCs w:val="24"/>
          <w:lang w:val="en-US" w:eastAsia="zh-CN"/>
        </w:rPr>
        <w:t>双港大道</w:t>
      </w:r>
      <w:r>
        <w:rPr>
          <w:rFonts w:ascii="Times New Roman" w:hAnsi="Times New Roman" w:cs="Times New Roman"/>
          <w:color w:val="000000" w:themeColor="text1"/>
          <w:sz w:val="24"/>
          <w:szCs w:val="24"/>
        </w:rPr>
        <w:t>加油</w:t>
      </w:r>
      <w:r>
        <w:rPr>
          <w:rFonts w:hint="eastAsia" w:ascii="Times New Roman" w:hAnsi="Times New Roman" w:cs="Times New Roman"/>
          <w:color w:val="000000" w:themeColor="text1"/>
          <w:sz w:val="24"/>
          <w:szCs w:val="24"/>
          <w:lang w:val="en-US" w:eastAsia="zh-CN"/>
        </w:rPr>
        <w:t>站</w:t>
      </w:r>
      <w:r>
        <w:rPr>
          <w:rFonts w:ascii="Times New Roman" w:hAnsi="Times New Roman" w:cs="Times New Roman"/>
          <w:color w:val="000000" w:themeColor="text1"/>
          <w:sz w:val="24"/>
          <w:szCs w:val="24"/>
        </w:rPr>
        <w:t>应急预案（初稿）》。2019年</w:t>
      </w:r>
      <w:r>
        <w:rPr>
          <w:rFonts w:hint="eastAsia" w:ascii="Times New Roman" w:hAnsi="Times New Roman" w:cs="Times New Roman"/>
          <w:color w:val="000000" w:themeColor="text1"/>
          <w:sz w:val="24"/>
          <w:szCs w:val="24"/>
          <w:lang w:val="en-US" w:eastAsia="zh-CN"/>
        </w:rPr>
        <w:t>11</w:t>
      </w:r>
      <w:r>
        <w:rPr>
          <w:rFonts w:ascii="Times New Roman" w:hAnsi="Times New Roman" w:cs="Times New Roman"/>
          <w:color w:val="000000" w:themeColor="text1"/>
          <w:sz w:val="24"/>
          <w:szCs w:val="24"/>
        </w:rPr>
        <w:t>月</w:t>
      </w:r>
      <w:r>
        <w:rPr>
          <w:rFonts w:hint="eastAsia" w:ascii="Times New Roman" w:hAnsi="Times New Roman" w:cs="Times New Roman"/>
          <w:color w:val="000000" w:themeColor="text1"/>
          <w:sz w:val="24"/>
          <w:szCs w:val="24"/>
          <w:lang w:val="en-US" w:eastAsia="zh-CN"/>
        </w:rPr>
        <w:t>5</w:t>
      </w:r>
      <w:r>
        <w:rPr>
          <w:rFonts w:ascii="Times New Roman" w:hAnsi="Times New Roman" w:cs="Times New Roman"/>
          <w:color w:val="000000" w:themeColor="text1"/>
          <w:sz w:val="24"/>
          <w:szCs w:val="24"/>
        </w:rPr>
        <w:t>日，中国</w:t>
      </w:r>
      <w:r>
        <w:rPr>
          <w:rFonts w:hint="eastAsia" w:ascii="Times New Roman" w:hAnsi="Times New Roman" w:cs="Times New Roman"/>
          <w:color w:val="000000" w:themeColor="text1"/>
          <w:sz w:val="24"/>
          <w:szCs w:val="24"/>
          <w:lang w:val="en-US" w:eastAsia="zh-CN"/>
        </w:rPr>
        <w:t>石油天然气</w:t>
      </w:r>
      <w:r>
        <w:rPr>
          <w:rFonts w:ascii="Times New Roman" w:hAnsi="Times New Roman" w:cs="Times New Roman"/>
          <w:color w:val="000000" w:themeColor="text1"/>
          <w:sz w:val="24"/>
          <w:szCs w:val="24"/>
        </w:rPr>
        <w:t>股份有限公司江西南昌</w:t>
      </w:r>
      <w:r>
        <w:rPr>
          <w:rFonts w:hint="eastAsia" w:ascii="Times New Roman" w:hAnsi="Times New Roman" w:cs="Times New Roman"/>
          <w:color w:val="000000" w:themeColor="text1"/>
          <w:sz w:val="24"/>
          <w:szCs w:val="24"/>
          <w:lang w:val="en-US" w:eastAsia="zh-CN"/>
        </w:rPr>
        <w:t>双港大道</w:t>
      </w:r>
      <w:r>
        <w:rPr>
          <w:rFonts w:ascii="Times New Roman" w:hAnsi="Times New Roman" w:cs="Times New Roman"/>
          <w:color w:val="000000" w:themeColor="text1"/>
          <w:sz w:val="24"/>
          <w:szCs w:val="24"/>
        </w:rPr>
        <w:t>加油站相关人员对初步编制完成的《</w:t>
      </w:r>
      <w:bookmarkStart w:id="4" w:name="_Hlk11345572"/>
      <w:r>
        <w:rPr>
          <w:rFonts w:ascii="Times New Roman" w:hAnsi="Times New Roman" w:cs="Times New Roman"/>
          <w:color w:val="000000" w:themeColor="text1"/>
          <w:sz w:val="24"/>
          <w:szCs w:val="24"/>
        </w:rPr>
        <w:t>中国</w:t>
      </w:r>
      <w:r>
        <w:rPr>
          <w:rFonts w:hint="eastAsia" w:ascii="Times New Roman" w:hAnsi="Times New Roman" w:cs="Times New Roman"/>
          <w:color w:val="000000" w:themeColor="text1"/>
          <w:sz w:val="24"/>
          <w:szCs w:val="24"/>
          <w:lang w:val="en-US" w:eastAsia="zh-CN"/>
        </w:rPr>
        <w:t>石油天然气</w:t>
      </w:r>
      <w:r>
        <w:rPr>
          <w:rFonts w:ascii="Times New Roman" w:hAnsi="Times New Roman" w:cs="Times New Roman"/>
          <w:color w:val="000000" w:themeColor="text1"/>
          <w:sz w:val="24"/>
          <w:szCs w:val="24"/>
        </w:rPr>
        <w:t>股份有限公司江西南昌</w:t>
      </w:r>
      <w:r>
        <w:rPr>
          <w:rFonts w:hint="eastAsia" w:ascii="Times New Roman" w:hAnsi="Times New Roman" w:cs="Times New Roman"/>
          <w:color w:val="000000" w:themeColor="text1"/>
          <w:sz w:val="24"/>
          <w:szCs w:val="24"/>
          <w:lang w:val="en-US" w:eastAsia="zh-CN"/>
        </w:rPr>
        <w:t>双港大道</w:t>
      </w:r>
      <w:r>
        <w:rPr>
          <w:rFonts w:ascii="Times New Roman" w:hAnsi="Times New Roman" w:cs="Times New Roman"/>
          <w:color w:val="000000" w:themeColor="text1"/>
          <w:sz w:val="24"/>
          <w:szCs w:val="24"/>
        </w:rPr>
        <w:t>加油站</w:t>
      </w:r>
      <w:bookmarkEnd w:id="4"/>
      <w:r>
        <w:rPr>
          <w:rFonts w:ascii="Times New Roman" w:hAnsi="Times New Roman" w:cs="Times New Roman"/>
          <w:color w:val="000000" w:themeColor="text1"/>
          <w:sz w:val="24"/>
          <w:szCs w:val="24"/>
        </w:rPr>
        <w:t>突发环境事件应急预案（初稿）》的适用性、可行性进行了内部评审，经分析、讨论并提出修改意见和建议，根据修改意见和建议对应急预案进行了修改、完善，形成《中国</w:t>
      </w:r>
      <w:r>
        <w:rPr>
          <w:rFonts w:hint="eastAsia" w:ascii="Times New Roman" w:hAnsi="Times New Roman" w:cs="Times New Roman"/>
          <w:color w:val="000000" w:themeColor="text1"/>
          <w:sz w:val="24"/>
          <w:szCs w:val="24"/>
          <w:lang w:val="en-US" w:eastAsia="zh-CN"/>
        </w:rPr>
        <w:t>石油天然气</w:t>
      </w:r>
      <w:r>
        <w:rPr>
          <w:rFonts w:ascii="Times New Roman" w:hAnsi="Times New Roman" w:cs="Times New Roman"/>
          <w:color w:val="000000" w:themeColor="text1"/>
          <w:sz w:val="24"/>
          <w:szCs w:val="24"/>
        </w:rPr>
        <w:t>股份有限公司江西南昌</w:t>
      </w:r>
      <w:r>
        <w:rPr>
          <w:rFonts w:hint="eastAsia" w:ascii="Times New Roman" w:hAnsi="Times New Roman" w:cs="Times New Roman"/>
          <w:color w:val="000000" w:themeColor="text1"/>
          <w:sz w:val="24"/>
          <w:szCs w:val="24"/>
          <w:lang w:val="en-US" w:eastAsia="zh-CN"/>
        </w:rPr>
        <w:t>双港大道</w:t>
      </w:r>
      <w:r>
        <w:rPr>
          <w:rFonts w:ascii="Times New Roman" w:hAnsi="Times New Roman" w:cs="Times New Roman"/>
          <w:color w:val="000000" w:themeColor="text1"/>
          <w:sz w:val="24"/>
          <w:szCs w:val="24"/>
        </w:rPr>
        <w:t>加油站突发环境事件应急预案》。</w:t>
      </w:r>
      <w:bookmarkStart w:id="5" w:name="_Toc472676815"/>
      <w:bookmarkStart w:id="6" w:name="_Toc472676682"/>
      <w:bookmarkStart w:id="7" w:name="_Toc472676201"/>
    </w:p>
    <w:p>
      <w:pPr>
        <w:spacing w:line="500" w:lineRule="exact"/>
        <w:ind w:firstLine="482" w:firstLineChars="200"/>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三、重点内容说明</w:t>
      </w:r>
      <w:bookmarkEnd w:id="5"/>
      <w:bookmarkEnd w:id="6"/>
      <w:bookmarkEnd w:id="7"/>
    </w:p>
    <w:p>
      <w:pPr>
        <w:keepNext w:val="0"/>
        <w:keepLines w:val="0"/>
        <w:pageBreakBefore w:val="0"/>
        <w:widowControl w:val="0"/>
        <w:kinsoku/>
        <w:wordWrap/>
        <w:overflowPunct/>
        <w:topLinePunct w:val="0"/>
        <w:autoSpaceDE/>
        <w:autoSpaceDN/>
        <w:bidi w:val="0"/>
        <w:adjustRightInd/>
        <w:snapToGrid/>
        <w:spacing w:line="360" w:lineRule="auto"/>
        <w:ind w:firstLine="420" w:firstLineChars="0"/>
        <w:textAlignment w:val="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根据《突发环境事件应急预案管理办法》、《</w:t>
      </w: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HYPERLINK "http://www.mep.gov.cn/gkml/hbb/bwj/201501/t20150113_294131.htm" </w:instrText>
      </w:r>
      <w:r>
        <w:rPr>
          <w:rFonts w:ascii="Times New Roman" w:hAnsi="Times New Roman" w:cs="Times New Roman"/>
          <w:color w:val="000000" w:themeColor="text1"/>
          <w:sz w:val="24"/>
          <w:szCs w:val="24"/>
        </w:rPr>
        <w:fldChar w:fldCharType="separate"/>
      </w:r>
      <w:r>
        <w:rPr>
          <w:rFonts w:ascii="Times New Roman" w:hAnsi="Times New Roman" w:cs="Times New Roman"/>
          <w:color w:val="000000" w:themeColor="text1"/>
          <w:sz w:val="24"/>
          <w:szCs w:val="24"/>
        </w:rPr>
        <w:t>企业事业单位突发环境事件应急预案备案管理办法</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（试行）》（环发〔2015〕4号）和《</w:t>
      </w:r>
      <w:bookmarkStart w:id="8" w:name="_Hlk11345735"/>
      <w:r>
        <w:rPr>
          <w:rFonts w:ascii="Times New Roman" w:hAnsi="Times New Roman" w:cs="Times New Roman"/>
          <w:color w:val="000000" w:themeColor="text1"/>
          <w:sz w:val="24"/>
          <w:szCs w:val="24"/>
        </w:rPr>
        <w:t>中国</w:t>
      </w:r>
      <w:r>
        <w:rPr>
          <w:rFonts w:hint="eastAsia" w:ascii="Times New Roman" w:hAnsi="Times New Roman" w:cs="Times New Roman"/>
          <w:color w:val="000000" w:themeColor="text1"/>
          <w:sz w:val="24"/>
          <w:szCs w:val="24"/>
          <w:lang w:val="en-US" w:eastAsia="zh-CN"/>
        </w:rPr>
        <w:t>石油天然气</w:t>
      </w:r>
      <w:r>
        <w:rPr>
          <w:rFonts w:ascii="Times New Roman" w:hAnsi="Times New Roman" w:cs="Times New Roman"/>
          <w:color w:val="000000" w:themeColor="text1"/>
          <w:sz w:val="24"/>
          <w:szCs w:val="24"/>
        </w:rPr>
        <w:t>股份有限公司江西南昌</w:t>
      </w:r>
      <w:r>
        <w:rPr>
          <w:rFonts w:hint="eastAsia" w:ascii="Times New Roman" w:hAnsi="Times New Roman" w:cs="Times New Roman"/>
          <w:color w:val="000000" w:themeColor="text1"/>
          <w:sz w:val="24"/>
          <w:szCs w:val="24"/>
          <w:lang w:val="en-US" w:eastAsia="zh-CN"/>
        </w:rPr>
        <w:t>双港大道</w:t>
      </w:r>
      <w:r>
        <w:rPr>
          <w:rFonts w:ascii="Times New Roman" w:hAnsi="Times New Roman" w:cs="Times New Roman"/>
          <w:color w:val="000000" w:themeColor="text1"/>
          <w:sz w:val="24"/>
          <w:szCs w:val="24"/>
        </w:rPr>
        <w:t>加油站</w:t>
      </w:r>
      <w:bookmarkEnd w:id="8"/>
      <w:r>
        <w:rPr>
          <w:rFonts w:ascii="Times New Roman" w:hAnsi="Times New Roman" w:cs="Times New Roman"/>
          <w:color w:val="000000" w:themeColor="text1"/>
          <w:sz w:val="24"/>
          <w:szCs w:val="24"/>
        </w:rPr>
        <w:t>突发环境事件应急预案》重点内容为：</w:t>
      </w:r>
    </w:p>
    <w:p>
      <w:pPr>
        <w:keepNext w:val="0"/>
        <w:keepLines w:val="0"/>
        <w:pageBreakBefore w:val="0"/>
        <w:widowControl w:val="0"/>
        <w:kinsoku/>
        <w:wordWrap/>
        <w:overflowPunct/>
        <w:topLinePunct w:val="0"/>
        <w:autoSpaceDE/>
        <w:autoSpaceDN/>
        <w:bidi w:val="0"/>
        <w:adjustRightInd/>
        <w:snapToGrid/>
        <w:spacing w:line="360" w:lineRule="auto"/>
        <w:ind w:firstLine="420" w:firstLineChars="0"/>
        <w:textAlignment w:val="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突发环境事件风险评估，其中以最大可信事故及环境风险等级的判定，突发环境事件风险管理尤为重要；</w:t>
      </w:r>
    </w:p>
    <w:p>
      <w:pPr>
        <w:keepNext w:val="0"/>
        <w:keepLines w:val="0"/>
        <w:pageBreakBefore w:val="0"/>
        <w:widowControl w:val="0"/>
        <w:kinsoku/>
        <w:wordWrap/>
        <w:overflowPunct/>
        <w:topLinePunct w:val="0"/>
        <w:autoSpaceDE/>
        <w:autoSpaceDN/>
        <w:bidi w:val="0"/>
        <w:adjustRightInd/>
        <w:snapToGrid/>
        <w:spacing w:line="360" w:lineRule="auto"/>
        <w:ind w:firstLine="420" w:firstLineChars="0"/>
        <w:textAlignment w:val="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环境应急资源调查，其中以加油站已有的应急体系、应急物资、外部可联动应急资源及其能力判断尤为重要；</w:t>
      </w:r>
    </w:p>
    <w:p>
      <w:pPr>
        <w:keepNext w:val="0"/>
        <w:keepLines w:val="0"/>
        <w:pageBreakBefore w:val="0"/>
        <w:widowControl w:val="0"/>
        <w:kinsoku/>
        <w:wordWrap/>
        <w:overflowPunct/>
        <w:topLinePunct w:val="0"/>
        <w:autoSpaceDE/>
        <w:autoSpaceDN/>
        <w:bidi w:val="0"/>
        <w:adjustRightInd/>
        <w:snapToGrid/>
        <w:spacing w:line="360" w:lineRule="auto"/>
        <w:ind w:firstLine="420" w:firstLineChars="0"/>
        <w:textAlignment w:val="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除以上两方面内容外，预防与预警、信息报告与通报、应急响应与措施均属于本应急预案重点内容。</w:t>
      </w:r>
    </w:p>
    <w:p>
      <w:pPr>
        <w:spacing w:line="500" w:lineRule="exact"/>
        <w:ind w:firstLine="482" w:firstLineChars="200"/>
        <w:rPr>
          <w:rFonts w:ascii="Times New Roman" w:hAnsi="Times New Roman" w:cs="Times New Roman"/>
          <w:b/>
          <w:color w:val="000000" w:themeColor="text1"/>
          <w:sz w:val="24"/>
          <w:szCs w:val="24"/>
        </w:rPr>
      </w:pPr>
      <w:bookmarkStart w:id="9" w:name="_Toc472676816"/>
      <w:bookmarkStart w:id="10" w:name="_Toc472676683"/>
      <w:bookmarkStart w:id="11" w:name="_Toc472676202"/>
      <w:r>
        <w:rPr>
          <w:rFonts w:ascii="Times New Roman" w:hAnsi="Times New Roman" w:cs="Times New Roman"/>
          <w:b/>
          <w:color w:val="000000" w:themeColor="text1"/>
          <w:sz w:val="24"/>
          <w:szCs w:val="24"/>
        </w:rPr>
        <w:t>四、征求意见及采纳情况说明</w:t>
      </w:r>
      <w:bookmarkEnd w:id="9"/>
      <w:bookmarkEnd w:id="10"/>
      <w:bookmarkEnd w:id="11"/>
    </w:p>
    <w:p>
      <w:pPr>
        <w:keepNext w:val="0"/>
        <w:keepLines w:val="0"/>
        <w:pageBreakBefore w:val="0"/>
        <w:widowControl w:val="0"/>
        <w:kinsoku/>
        <w:wordWrap/>
        <w:overflowPunct/>
        <w:topLinePunct w:val="0"/>
        <w:autoSpaceDE/>
        <w:autoSpaceDN/>
        <w:bidi w:val="0"/>
        <w:adjustRightInd/>
        <w:snapToGrid/>
        <w:spacing w:line="360" w:lineRule="auto"/>
        <w:ind w:firstLine="420" w:firstLineChars="0"/>
        <w:textAlignment w:val="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2019年</w:t>
      </w:r>
      <w:r>
        <w:rPr>
          <w:rFonts w:hint="eastAsia" w:ascii="Times New Roman" w:hAnsi="Times New Roman" w:cs="Times New Roman"/>
          <w:color w:val="000000" w:themeColor="text1"/>
          <w:sz w:val="24"/>
          <w:szCs w:val="24"/>
          <w:lang w:val="en-US" w:eastAsia="zh-CN"/>
        </w:rPr>
        <w:t>11</w:t>
      </w:r>
      <w:r>
        <w:rPr>
          <w:rFonts w:ascii="Times New Roman" w:hAnsi="Times New Roman" w:cs="Times New Roman"/>
          <w:color w:val="000000" w:themeColor="text1"/>
          <w:sz w:val="24"/>
          <w:szCs w:val="24"/>
        </w:rPr>
        <w:t>月</w:t>
      </w:r>
      <w:r>
        <w:rPr>
          <w:rFonts w:hint="eastAsia" w:ascii="Times New Roman" w:hAnsi="Times New Roman" w:cs="Times New Roman"/>
          <w:color w:val="000000" w:themeColor="text1"/>
          <w:sz w:val="24"/>
          <w:szCs w:val="24"/>
          <w:lang w:val="en-US" w:eastAsia="zh-CN"/>
        </w:rPr>
        <w:t>5</w:t>
      </w:r>
      <w:r>
        <w:rPr>
          <w:rFonts w:ascii="Times New Roman" w:hAnsi="Times New Roman" w:cs="Times New Roman"/>
          <w:color w:val="000000" w:themeColor="text1"/>
          <w:sz w:val="24"/>
          <w:szCs w:val="24"/>
        </w:rPr>
        <w:t>日，中国</w:t>
      </w:r>
      <w:r>
        <w:rPr>
          <w:rFonts w:hint="eastAsia" w:ascii="Times New Roman" w:hAnsi="Times New Roman" w:cs="Times New Roman"/>
          <w:color w:val="000000" w:themeColor="text1"/>
          <w:sz w:val="24"/>
          <w:szCs w:val="24"/>
          <w:lang w:val="en-US" w:eastAsia="zh-CN"/>
        </w:rPr>
        <w:t>石油天然气</w:t>
      </w:r>
      <w:r>
        <w:rPr>
          <w:rFonts w:ascii="Times New Roman" w:hAnsi="Times New Roman" w:cs="Times New Roman"/>
          <w:color w:val="000000" w:themeColor="text1"/>
          <w:sz w:val="24"/>
          <w:szCs w:val="24"/>
        </w:rPr>
        <w:t>股份有限公司江西南昌</w:t>
      </w:r>
      <w:r>
        <w:rPr>
          <w:rFonts w:hint="eastAsia" w:ascii="Times New Roman" w:hAnsi="Times New Roman" w:cs="Times New Roman"/>
          <w:color w:val="000000" w:themeColor="text1"/>
          <w:sz w:val="24"/>
          <w:szCs w:val="24"/>
          <w:lang w:val="en-US" w:eastAsia="zh-CN"/>
        </w:rPr>
        <w:t>双港大道</w:t>
      </w:r>
      <w:r>
        <w:rPr>
          <w:rFonts w:ascii="Times New Roman" w:hAnsi="Times New Roman" w:cs="Times New Roman"/>
          <w:color w:val="000000" w:themeColor="text1"/>
          <w:sz w:val="24"/>
          <w:szCs w:val="24"/>
        </w:rPr>
        <w:t>加油站相关人员对《中国</w:t>
      </w:r>
      <w:r>
        <w:rPr>
          <w:rFonts w:hint="eastAsia" w:ascii="Times New Roman" w:hAnsi="Times New Roman" w:cs="Times New Roman"/>
          <w:color w:val="000000" w:themeColor="text1"/>
          <w:sz w:val="24"/>
          <w:szCs w:val="24"/>
          <w:lang w:val="en-US" w:eastAsia="zh-CN"/>
        </w:rPr>
        <w:t>石油天然气</w:t>
      </w:r>
      <w:r>
        <w:rPr>
          <w:rFonts w:ascii="Times New Roman" w:hAnsi="Times New Roman" w:cs="Times New Roman"/>
          <w:color w:val="000000" w:themeColor="text1"/>
          <w:sz w:val="24"/>
          <w:szCs w:val="24"/>
        </w:rPr>
        <w:t>股份有限公司江西南昌</w:t>
      </w:r>
      <w:r>
        <w:rPr>
          <w:rFonts w:hint="eastAsia" w:ascii="Times New Roman" w:hAnsi="Times New Roman" w:cs="Times New Roman"/>
          <w:color w:val="000000" w:themeColor="text1"/>
          <w:sz w:val="24"/>
          <w:szCs w:val="24"/>
          <w:lang w:val="en-US" w:eastAsia="zh-CN"/>
        </w:rPr>
        <w:t>双港大道</w:t>
      </w:r>
      <w:r>
        <w:rPr>
          <w:rFonts w:ascii="Times New Roman" w:hAnsi="Times New Roman" w:cs="Times New Roman"/>
          <w:color w:val="000000" w:themeColor="text1"/>
          <w:sz w:val="24"/>
          <w:szCs w:val="24"/>
        </w:rPr>
        <w:t>加油站突发环境事件应急预案》及相关文件进行内部评审。</w:t>
      </w:r>
    </w:p>
    <w:p>
      <w:pPr>
        <w:keepNext w:val="0"/>
        <w:keepLines w:val="0"/>
        <w:pageBreakBefore w:val="0"/>
        <w:widowControl w:val="0"/>
        <w:kinsoku/>
        <w:wordWrap/>
        <w:overflowPunct/>
        <w:topLinePunct w:val="0"/>
        <w:autoSpaceDE/>
        <w:autoSpaceDN/>
        <w:bidi w:val="0"/>
        <w:adjustRightInd/>
        <w:snapToGrid/>
        <w:spacing w:line="360" w:lineRule="auto"/>
        <w:ind w:firstLine="420" w:firstLineChars="0"/>
        <w:textAlignment w:val="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应急预案编制组根据内部评审会形成的意见和建议及其他意见，对应急预案进行了认真修改完善，形成《</w:t>
      </w:r>
      <w:bookmarkStart w:id="12" w:name="_Hlk11345961"/>
      <w:r>
        <w:rPr>
          <w:rFonts w:ascii="Times New Roman" w:hAnsi="Times New Roman" w:cs="Times New Roman"/>
          <w:color w:val="000000" w:themeColor="text1"/>
          <w:sz w:val="24"/>
          <w:szCs w:val="24"/>
        </w:rPr>
        <w:t>中国</w:t>
      </w:r>
      <w:r>
        <w:rPr>
          <w:rFonts w:hint="eastAsia" w:ascii="Times New Roman" w:hAnsi="Times New Roman" w:cs="Times New Roman"/>
          <w:color w:val="000000" w:themeColor="text1"/>
          <w:sz w:val="24"/>
          <w:szCs w:val="24"/>
          <w:lang w:val="en-US" w:eastAsia="zh-CN"/>
        </w:rPr>
        <w:t>石油天然气</w:t>
      </w:r>
      <w:r>
        <w:rPr>
          <w:rFonts w:ascii="Times New Roman" w:hAnsi="Times New Roman" w:cs="Times New Roman"/>
          <w:color w:val="000000" w:themeColor="text1"/>
          <w:sz w:val="24"/>
          <w:szCs w:val="24"/>
        </w:rPr>
        <w:t>股份有限公司江西南昌</w:t>
      </w:r>
      <w:r>
        <w:rPr>
          <w:rFonts w:hint="eastAsia" w:ascii="Times New Roman" w:hAnsi="Times New Roman" w:cs="Times New Roman"/>
          <w:color w:val="000000" w:themeColor="text1"/>
          <w:sz w:val="24"/>
          <w:szCs w:val="24"/>
          <w:lang w:val="en-US" w:eastAsia="zh-CN"/>
        </w:rPr>
        <w:t>双港大道</w:t>
      </w:r>
      <w:r>
        <w:rPr>
          <w:rFonts w:ascii="Times New Roman" w:hAnsi="Times New Roman" w:cs="Times New Roman"/>
          <w:color w:val="000000" w:themeColor="text1"/>
          <w:sz w:val="24"/>
          <w:szCs w:val="24"/>
        </w:rPr>
        <w:t>加油站</w:t>
      </w:r>
      <w:bookmarkEnd w:id="12"/>
      <w:r>
        <w:rPr>
          <w:rFonts w:ascii="Times New Roman" w:hAnsi="Times New Roman" w:cs="Times New Roman"/>
          <w:color w:val="000000" w:themeColor="text1"/>
          <w:sz w:val="24"/>
          <w:szCs w:val="24"/>
        </w:rPr>
        <w:t>突发环境事件应急预案》。</w:t>
      </w:r>
    </w:p>
    <w:p>
      <w:pPr>
        <w:spacing w:line="500" w:lineRule="exact"/>
        <w:ind w:firstLine="4080" w:firstLineChars="1700"/>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中国</w:t>
      </w:r>
      <w:r>
        <w:rPr>
          <w:rFonts w:hint="eastAsia" w:ascii="Times New Roman" w:hAnsi="Times New Roman" w:cs="Times New Roman"/>
          <w:color w:val="000000" w:themeColor="text1"/>
          <w:sz w:val="24"/>
          <w:szCs w:val="24"/>
          <w:lang w:val="en-US" w:eastAsia="zh-CN"/>
        </w:rPr>
        <w:t>石油天然气</w:t>
      </w:r>
      <w:r>
        <w:rPr>
          <w:rFonts w:ascii="Times New Roman" w:hAnsi="Times New Roman" w:cs="Times New Roman"/>
          <w:color w:val="000000" w:themeColor="text1"/>
          <w:sz w:val="24"/>
          <w:szCs w:val="24"/>
        </w:rPr>
        <w:t>股份有限公司</w:t>
      </w:r>
    </w:p>
    <w:p>
      <w:pPr>
        <w:spacing w:line="500" w:lineRule="exact"/>
        <w:ind w:firstLine="4080" w:firstLineChars="1700"/>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江西南昌</w:t>
      </w:r>
      <w:r>
        <w:rPr>
          <w:rFonts w:hint="eastAsia" w:ascii="Times New Roman" w:hAnsi="Times New Roman" w:cs="Times New Roman"/>
          <w:color w:val="000000" w:themeColor="text1"/>
          <w:sz w:val="24"/>
          <w:szCs w:val="24"/>
        </w:rPr>
        <w:t>市</w:t>
      </w:r>
      <w:r>
        <w:rPr>
          <w:rFonts w:ascii="Times New Roman" w:hAnsi="Times New Roman" w:cs="Times New Roman"/>
          <w:color w:val="000000" w:themeColor="text1"/>
          <w:sz w:val="24"/>
          <w:szCs w:val="24"/>
        </w:rPr>
        <w:t>南昌</w:t>
      </w:r>
      <w:r>
        <w:rPr>
          <w:rFonts w:hint="eastAsia" w:ascii="Times New Roman" w:hAnsi="Times New Roman" w:cs="Times New Roman"/>
          <w:color w:val="000000" w:themeColor="text1"/>
          <w:sz w:val="24"/>
          <w:szCs w:val="24"/>
          <w:lang w:val="en-US" w:eastAsia="zh-CN"/>
        </w:rPr>
        <w:t>双港大道</w:t>
      </w:r>
      <w:r>
        <w:rPr>
          <w:rFonts w:ascii="Times New Roman" w:hAnsi="Times New Roman" w:cs="Times New Roman"/>
          <w:color w:val="000000" w:themeColor="text1"/>
          <w:sz w:val="24"/>
          <w:szCs w:val="24"/>
        </w:rPr>
        <w:t>加油站</w:t>
      </w:r>
    </w:p>
    <w:p>
      <w:pPr>
        <w:spacing w:line="500" w:lineRule="exact"/>
        <w:ind w:firstLine="480" w:firstLineChars="200"/>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二〇一九年</w:t>
      </w:r>
      <w:r>
        <w:rPr>
          <w:rFonts w:hint="eastAsia" w:ascii="Times New Roman" w:hAnsi="Times New Roman" w:cs="Times New Roman"/>
          <w:color w:val="000000" w:themeColor="text1"/>
          <w:sz w:val="24"/>
          <w:szCs w:val="24"/>
          <w:lang w:val="en-US" w:eastAsia="zh-CN"/>
        </w:rPr>
        <w:t>十一</w:t>
      </w:r>
      <w:r>
        <w:rPr>
          <w:rFonts w:ascii="Times New Roman" w:hAnsi="Times New Roman" w:cs="Times New Roman"/>
          <w:color w:val="000000" w:themeColor="text1"/>
          <w:sz w:val="24"/>
          <w:szCs w:val="24"/>
        </w:rPr>
        <w:t>月</w:t>
      </w:r>
      <w:r>
        <w:rPr>
          <w:rFonts w:hint="eastAsia" w:ascii="Times New Roman" w:hAnsi="Times New Roman" w:cs="Times New Roman"/>
          <w:color w:val="000000" w:themeColor="text1"/>
          <w:sz w:val="24"/>
          <w:szCs w:val="24"/>
          <w:lang w:val="en-US" w:eastAsia="zh-CN"/>
        </w:rPr>
        <w:t>五</w:t>
      </w:r>
      <w:r>
        <w:rPr>
          <w:rFonts w:ascii="Times New Roman" w:hAnsi="Times New Roman" w:cs="Times New Roman"/>
          <w:color w:val="000000" w:themeColor="text1"/>
          <w:sz w:val="24"/>
          <w:szCs w:val="24"/>
        </w:rPr>
        <w:t>日</w:t>
      </w:r>
    </w:p>
    <w:p>
      <w:pPr>
        <w:widowControl/>
        <w:jc w:val="left"/>
        <w:rPr>
          <w:rFonts w:ascii="Times New Roman" w:hAnsi="Times New Roman" w:cs="Times New Roman"/>
          <w:color w:val="000000" w:themeColor="text1"/>
        </w:rPr>
      </w:pPr>
      <w:r>
        <w:rPr>
          <w:rFonts w:ascii="Times New Roman" w:hAnsi="Times New Roman" w:cs="Times New Roman"/>
          <w:color w:val="000000" w:themeColor="text1"/>
        </w:rPr>
        <w:br w:type="page"/>
      </w:r>
    </w:p>
    <w:p>
      <w:pPr>
        <w:pStyle w:val="11"/>
        <w:tabs>
          <w:tab w:val="right" w:leader="dot" w:pos="8306"/>
        </w:tabs>
        <w:jc w:val="center"/>
        <w:rPr>
          <w:rFonts w:ascii="Times New Roman" w:hAnsi="Times New Roman" w:eastAsia="宋体" w:cs="Times New Roman"/>
          <w:bCs/>
          <w:color w:val="000000" w:themeColor="text1"/>
          <w:sz w:val="24"/>
          <w:szCs w:val="24"/>
        </w:rPr>
      </w:pPr>
      <w:bookmarkStart w:id="13" w:name="_Toc3157_WPSOffice_Level1"/>
      <w:bookmarkStart w:id="14" w:name="_Toc6589"/>
      <w:bookmarkStart w:id="15" w:name="_Toc21399_WPSOffice_Level1"/>
      <w:bookmarkStart w:id="16" w:name="_Toc532816998"/>
      <w:r>
        <w:rPr>
          <w:rFonts w:ascii="Times New Roman" w:hAnsi="Times New Roman" w:eastAsia="宋体" w:cs="Times New Roman"/>
          <w:bCs/>
          <w:color w:val="000000" w:themeColor="text1"/>
          <w:sz w:val="24"/>
          <w:szCs w:val="24"/>
        </w:rPr>
        <w:t>目  录</w:t>
      </w:r>
    </w:p>
    <w:p>
      <w:pPr>
        <w:pStyle w:val="12"/>
        <w:tabs>
          <w:tab w:val="right" w:leader="dot" w:pos="9760"/>
        </w:tabs>
        <w:rPr>
          <w:rFonts w:ascii="Times New Roman" w:hAnsi="Times New Roman" w:eastAsia="宋体"/>
          <w:sz w:val="24"/>
        </w:rPr>
      </w:pPr>
      <w:r>
        <w:rPr>
          <w:rFonts w:ascii="Times New Roman" w:hAnsi="Times New Roman" w:eastAsia="宋体" w:cs="Times New Roman"/>
          <w:color w:val="000000" w:themeColor="text1"/>
          <w:kern w:val="44"/>
          <w:sz w:val="24"/>
          <w:szCs w:val="24"/>
        </w:rPr>
        <w:fldChar w:fldCharType="begin"/>
      </w:r>
      <w:r>
        <w:rPr>
          <w:rFonts w:ascii="Times New Roman" w:hAnsi="Times New Roman" w:eastAsia="宋体" w:cs="Times New Roman"/>
          <w:color w:val="000000" w:themeColor="text1"/>
          <w:kern w:val="44"/>
          <w:sz w:val="24"/>
          <w:szCs w:val="24"/>
        </w:rPr>
        <w:instrText xml:space="preserve">TOC \o "1-3" \f \u </w:instrText>
      </w:r>
      <w:r>
        <w:rPr>
          <w:rFonts w:ascii="Times New Roman" w:hAnsi="Times New Roman" w:eastAsia="宋体" w:cs="Times New Roman"/>
          <w:color w:val="000000" w:themeColor="text1"/>
          <w:kern w:val="44"/>
          <w:sz w:val="24"/>
          <w:szCs w:val="24"/>
        </w:rPr>
        <w:fldChar w:fldCharType="separate"/>
      </w:r>
      <w:r>
        <w:rPr>
          <w:rFonts w:ascii="Times New Roman" w:hAnsi="Times New Roman" w:eastAsia="宋体" w:cs="Times New Roman"/>
          <w:bCs/>
          <w:color w:val="000000" w:themeColor="text1"/>
          <w:kern w:val="44"/>
          <w:sz w:val="24"/>
          <w:szCs w:val="24"/>
        </w:rPr>
        <w:t>1.1编制目的</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_Toc17737 </w:instrText>
      </w:r>
      <w:r>
        <w:rPr>
          <w:rFonts w:ascii="Times New Roman" w:hAnsi="Times New Roman" w:eastAsia="宋体"/>
          <w:sz w:val="24"/>
        </w:rPr>
        <w:fldChar w:fldCharType="separate"/>
      </w:r>
      <w:r>
        <w:rPr>
          <w:rFonts w:ascii="Times New Roman" w:hAnsi="Times New Roman" w:eastAsia="宋体"/>
          <w:sz w:val="24"/>
        </w:rPr>
        <w:t>24</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1.2 编制依据</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_Toc11353 </w:instrText>
      </w:r>
      <w:r>
        <w:rPr>
          <w:rFonts w:ascii="Times New Roman" w:hAnsi="Times New Roman" w:eastAsia="宋体"/>
          <w:sz w:val="24"/>
        </w:rPr>
        <w:fldChar w:fldCharType="separate"/>
      </w:r>
      <w:r>
        <w:rPr>
          <w:rFonts w:ascii="Times New Roman" w:hAnsi="Times New Roman" w:eastAsia="宋体"/>
          <w:sz w:val="24"/>
        </w:rPr>
        <w:t>24</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1.2.1法律、法规、部门规章</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_Toc11876 </w:instrText>
      </w:r>
      <w:r>
        <w:rPr>
          <w:rFonts w:ascii="Times New Roman" w:hAnsi="Times New Roman" w:eastAsia="宋体"/>
          <w:sz w:val="24"/>
        </w:rPr>
        <w:fldChar w:fldCharType="separate"/>
      </w:r>
      <w:r>
        <w:rPr>
          <w:rFonts w:ascii="Times New Roman" w:hAnsi="Times New Roman" w:eastAsia="宋体"/>
          <w:sz w:val="24"/>
        </w:rPr>
        <w:t>24</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1.2.2标准、规范</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_Toc18623 </w:instrText>
      </w:r>
      <w:r>
        <w:rPr>
          <w:rFonts w:ascii="Times New Roman" w:hAnsi="Times New Roman" w:eastAsia="宋体"/>
          <w:sz w:val="24"/>
        </w:rPr>
        <w:fldChar w:fldCharType="separate"/>
      </w:r>
      <w:r>
        <w:rPr>
          <w:rFonts w:ascii="Times New Roman" w:hAnsi="Times New Roman" w:eastAsia="宋体"/>
          <w:sz w:val="24"/>
        </w:rPr>
        <w:t>25</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1.2.3其它文件资料</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_Toc1449 </w:instrText>
      </w:r>
      <w:r>
        <w:rPr>
          <w:rFonts w:ascii="Times New Roman" w:hAnsi="Times New Roman" w:eastAsia="宋体"/>
          <w:sz w:val="24"/>
        </w:rPr>
        <w:fldChar w:fldCharType="separate"/>
      </w:r>
      <w:r>
        <w:rPr>
          <w:rFonts w:ascii="Times New Roman" w:hAnsi="Times New Roman" w:eastAsia="宋体"/>
          <w:sz w:val="24"/>
        </w:rPr>
        <w:t>27</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1.3适用范围</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_Toc8875 </w:instrText>
      </w:r>
      <w:r>
        <w:rPr>
          <w:rFonts w:ascii="Times New Roman" w:hAnsi="Times New Roman" w:eastAsia="宋体"/>
          <w:sz w:val="24"/>
        </w:rPr>
        <w:fldChar w:fldCharType="separate"/>
      </w:r>
      <w:r>
        <w:rPr>
          <w:rFonts w:ascii="Times New Roman" w:hAnsi="Times New Roman" w:eastAsia="宋体"/>
          <w:sz w:val="24"/>
        </w:rPr>
        <w:t>27</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1.4应急预案体系</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_Toc10578 </w:instrText>
      </w:r>
      <w:r>
        <w:rPr>
          <w:rFonts w:ascii="Times New Roman" w:hAnsi="Times New Roman" w:eastAsia="宋体"/>
          <w:sz w:val="24"/>
        </w:rPr>
        <w:fldChar w:fldCharType="separate"/>
      </w:r>
      <w:r>
        <w:rPr>
          <w:rFonts w:ascii="Times New Roman" w:hAnsi="Times New Roman" w:eastAsia="宋体"/>
          <w:sz w:val="24"/>
        </w:rPr>
        <w:t>27</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1.5 事故分级</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_Toc12682 </w:instrText>
      </w:r>
      <w:r>
        <w:rPr>
          <w:rFonts w:ascii="Times New Roman" w:hAnsi="Times New Roman" w:eastAsia="宋体"/>
          <w:sz w:val="24"/>
        </w:rPr>
        <w:fldChar w:fldCharType="separate"/>
      </w:r>
      <w:r>
        <w:rPr>
          <w:rFonts w:ascii="Times New Roman" w:hAnsi="Times New Roman" w:eastAsia="宋体"/>
          <w:sz w:val="24"/>
        </w:rPr>
        <w:t>28</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1.5.1 国家应急预案分级</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_Toc25802 </w:instrText>
      </w:r>
      <w:r>
        <w:rPr>
          <w:rFonts w:ascii="Times New Roman" w:hAnsi="Times New Roman" w:eastAsia="宋体"/>
          <w:sz w:val="24"/>
        </w:rPr>
        <w:fldChar w:fldCharType="separate"/>
      </w:r>
      <w:r>
        <w:rPr>
          <w:rFonts w:ascii="Times New Roman" w:hAnsi="Times New Roman" w:eastAsia="宋体"/>
          <w:sz w:val="24"/>
        </w:rPr>
        <w:t>28</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1.5.2 企业应急预案分级</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_Toc17923 </w:instrText>
      </w:r>
      <w:r>
        <w:rPr>
          <w:rFonts w:ascii="Times New Roman" w:hAnsi="Times New Roman" w:eastAsia="宋体"/>
          <w:sz w:val="24"/>
        </w:rPr>
        <w:fldChar w:fldCharType="separate"/>
      </w:r>
      <w:r>
        <w:rPr>
          <w:rFonts w:ascii="Times New Roman" w:hAnsi="Times New Roman" w:eastAsia="宋体"/>
          <w:sz w:val="24"/>
        </w:rPr>
        <w:t>29</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1.6工作原则</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_Toc21854 </w:instrText>
      </w:r>
      <w:r>
        <w:rPr>
          <w:rFonts w:ascii="Times New Roman" w:hAnsi="Times New Roman" w:eastAsia="宋体"/>
          <w:sz w:val="24"/>
        </w:rPr>
        <w:fldChar w:fldCharType="separate"/>
      </w:r>
      <w:r>
        <w:rPr>
          <w:rFonts w:ascii="Times New Roman" w:hAnsi="Times New Roman" w:eastAsia="宋体"/>
          <w:sz w:val="24"/>
        </w:rPr>
        <w:t>29</w:t>
      </w:r>
      <w:r>
        <w:rPr>
          <w:rFonts w:ascii="Times New Roman" w:hAnsi="Times New Roman" w:eastAsia="宋体"/>
          <w:sz w:val="24"/>
        </w:rPr>
        <w:fldChar w:fldCharType="end"/>
      </w:r>
    </w:p>
    <w:p>
      <w:pPr>
        <w:pStyle w:val="11"/>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30"/>
        </w:rPr>
        <w:t>2.加油站基本情况</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_Toc25193 </w:instrText>
      </w:r>
      <w:r>
        <w:rPr>
          <w:rFonts w:ascii="Times New Roman" w:hAnsi="Times New Roman" w:eastAsia="宋体"/>
          <w:sz w:val="24"/>
        </w:rPr>
        <w:fldChar w:fldCharType="separate"/>
      </w:r>
      <w:r>
        <w:rPr>
          <w:rFonts w:ascii="Times New Roman" w:hAnsi="Times New Roman" w:eastAsia="宋体"/>
          <w:sz w:val="24"/>
        </w:rPr>
        <w:t>31</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2.1加油站概况</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_Toc19818 </w:instrText>
      </w:r>
      <w:r>
        <w:rPr>
          <w:rFonts w:ascii="Times New Roman" w:hAnsi="Times New Roman" w:eastAsia="宋体"/>
          <w:sz w:val="24"/>
        </w:rPr>
        <w:fldChar w:fldCharType="separate"/>
      </w:r>
      <w:r>
        <w:rPr>
          <w:rFonts w:ascii="Times New Roman" w:hAnsi="Times New Roman" w:eastAsia="宋体"/>
          <w:sz w:val="24"/>
        </w:rPr>
        <w:t>31</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2.2自然环境概况</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_Toc19378 </w:instrText>
      </w:r>
      <w:r>
        <w:rPr>
          <w:rFonts w:ascii="Times New Roman" w:hAnsi="Times New Roman" w:eastAsia="宋体"/>
          <w:sz w:val="24"/>
        </w:rPr>
        <w:fldChar w:fldCharType="separate"/>
      </w:r>
      <w:r>
        <w:rPr>
          <w:rFonts w:ascii="Times New Roman" w:hAnsi="Times New Roman" w:eastAsia="宋体"/>
          <w:sz w:val="24"/>
        </w:rPr>
        <w:t>31</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2.2.1地理位置</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_Toc29161 </w:instrText>
      </w:r>
      <w:r>
        <w:rPr>
          <w:rFonts w:ascii="Times New Roman" w:hAnsi="Times New Roman" w:eastAsia="宋体"/>
          <w:sz w:val="24"/>
        </w:rPr>
        <w:fldChar w:fldCharType="separate"/>
      </w:r>
      <w:r>
        <w:rPr>
          <w:rFonts w:ascii="Times New Roman" w:hAnsi="Times New Roman" w:eastAsia="宋体"/>
          <w:sz w:val="24"/>
        </w:rPr>
        <w:t>31</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2.2.2自然条件</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_Toc16198 </w:instrText>
      </w:r>
      <w:r>
        <w:rPr>
          <w:rFonts w:ascii="Times New Roman" w:hAnsi="Times New Roman" w:eastAsia="宋体"/>
          <w:sz w:val="24"/>
        </w:rPr>
        <w:fldChar w:fldCharType="separate"/>
      </w:r>
      <w:r>
        <w:rPr>
          <w:rFonts w:ascii="Times New Roman" w:hAnsi="Times New Roman" w:eastAsia="宋体"/>
          <w:sz w:val="24"/>
        </w:rPr>
        <w:t>32</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2.3 周边环境敏感点</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_Toc28053 </w:instrText>
      </w:r>
      <w:r>
        <w:rPr>
          <w:rFonts w:ascii="Times New Roman" w:hAnsi="Times New Roman" w:eastAsia="宋体"/>
          <w:sz w:val="24"/>
        </w:rPr>
        <w:fldChar w:fldCharType="separate"/>
      </w:r>
      <w:r>
        <w:rPr>
          <w:rFonts w:ascii="Times New Roman" w:hAnsi="Times New Roman" w:eastAsia="宋体"/>
          <w:sz w:val="24"/>
        </w:rPr>
        <w:t>34</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2.4 加油站平面布置</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_Toc23588 </w:instrText>
      </w:r>
      <w:r>
        <w:rPr>
          <w:rFonts w:ascii="Times New Roman" w:hAnsi="Times New Roman" w:eastAsia="宋体"/>
          <w:sz w:val="24"/>
        </w:rPr>
        <w:fldChar w:fldCharType="separate"/>
      </w:r>
      <w:r>
        <w:rPr>
          <w:rFonts w:ascii="Times New Roman" w:hAnsi="Times New Roman" w:eastAsia="宋体"/>
          <w:sz w:val="24"/>
        </w:rPr>
        <w:t>35</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2.5加油站工艺流程基本情况</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_Toc11769 </w:instrText>
      </w:r>
      <w:r>
        <w:rPr>
          <w:rFonts w:ascii="Times New Roman" w:hAnsi="Times New Roman" w:eastAsia="宋体"/>
          <w:sz w:val="24"/>
        </w:rPr>
        <w:fldChar w:fldCharType="separate"/>
      </w:r>
      <w:r>
        <w:rPr>
          <w:rFonts w:ascii="Times New Roman" w:hAnsi="Times New Roman" w:eastAsia="宋体"/>
          <w:sz w:val="24"/>
        </w:rPr>
        <w:t>37</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2.5.1油品消耗</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_Toc544 </w:instrText>
      </w:r>
      <w:r>
        <w:rPr>
          <w:rFonts w:ascii="Times New Roman" w:hAnsi="Times New Roman" w:eastAsia="宋体"/>
          <w:sz w:val="24"/>
        </w:rPr>
        <w:fldChar w:fldCharType="separate"/>
      </w:r>
      <w:r>
        <w:rPr>
          <w:rFonts w:ascii="Times New Roman" w:hAnsi="Times New Roman" w:eastAsia="宋体"/>
          <w:sz w:val="24"/>
        </w:rPr>
        <w:t>37</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2.5.2生产工艺流程及产污节点</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_Toc549 </w:instrText>
      </w:r>
      <w:r>
        <w:rPr>
          <w:rFonts w:ascii="Times New Roman" w:hAnsi="Times New Roman" w:eastAsia="宋体"/>
          <w:sz w:val="24"/>
        </w:rPr>
        <w:fldChar w:fldCharType="separate"/>
      </w:r>
      <w:r>
        <w:rPr>
          <w:rFonts w:ascii="Times New Roman" w:hAnsi="Times New Roman" w:eastAsia="宋体"/>
          <w:sz w:val="24"/>
        </w:rPr>
        <w:t>37</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2.5.3 公辅工程及主要设备设施</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_Toc16473 </w:instrText>
      </w:r>
      <w:r>
        <w:rPr>
          <w:rFonts w:ascii="Times New Roman" w:hAnsi="Times New Roman" w:eastAsia="宋体"/>
          <w:sz w:val="24"/>
        </w:rPr>
        <w:fldChar w:fldCharType="separate"/>
      </w:r>
      <w:r>
        <w:rPr>
          <w:rFonts w:ascii="Times New Roman" w:hAnsi="Times New Roman" w:eastAsia="宋体"/>
          <w:sz w:val="24"/>
        </w:rPr>
        <w:t>39</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2.5.4污染物产生及处置情况</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_Toc28639 </w:instrText>
      </w:r>
      <w:r>
        <w:rPr>
          <w:rFonts w:ascii="Times New Roman" w:hAnsi="Times New Roman" w:eastAsia="宋体"/>
          <w:sz w:val="24"/>
        </w:rPr>
        <w:fldChar w:fldCharType="separate"/>
      </w:r>
      <w:r>
        <w:rPr>
          <w:rFonts w:ascii="Times New Roman" w:hAnsi="Times New Roman" w:eastAsia="宋体"/>
          <w:sz w:val="24"/>
        </w:rPr>
        <w:t>40</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 xml:space="preserve">2.6 </w:t>
      </w:r>
      <w:r>
        <w:rPr>
          <w:rFonts w:hint="eastAsia" w:ascii="Times New Roman" w:hAnsi="Times New Roman" w:eastAsia="宋体" w:cs="Times New Roman"/>
          <w:bCs/>
          <w:color w:val="000000" w:themeColor="text1"/>
          <w:kern w:val="44"/>
          <w:sz w:val="24"/>
          <w:szCs w:val="24"/>
        </w:rPr>
        <w:t>项目水平衡</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_Toc29718 </w:instrText>
      </w:r>
      <w:r>
        <w:rPr>
          <w:rFonts w:ascii="Times New Roman" w:hAnsi="Times New Roman" w:eastAsia="宋体"/>
          <w:sz w:val="24"/>
        </w:rPr>
        <w:fldChar w:fldCharType="separate"/>
      </w:r>
      <w:r>
        <w:rPr>
          <w:rFonts w:ascii="Times New Roman" w:hAnsi="Times New Roman" w:eastAsia="宋体"/>
          <w:sz w:val="24"/>
        </w:rPr>
        <w:t>41</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2.7 环境管理</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_Toc31626 </w:instrText>
      </w:r>
      <w:r>
        <w:rPr>
          <w:rFonts w:ascii="Times New Roman" w:hAnsi="Times New Roman" w:eastAsia="宋体"/>
          <w:sz w:val="24"/>
        </w:rPr>
        <w:fldChar w:fldCharType="separate"/>
      </w:r>
      <w:r>
        <w:rPr>
          <w:rFonts w:ascii="Times New Roman" w:hAnsi="Times New Roman" w:eastAsia="宋体"/>
          <w:sz w:val="24"/>
        </w:rPr>
        <w:t>41</w:t>
      </w:r>
      <w:r>
        <w:rPr>
          <w:rFonts w:ascii="Times New Roman" w:hAnsi="Times New Roman" w:eastAsia="宋体"/>
          <w:sz w:val="24"/>
        </w:rPr>
        <w:fldChar w:fldCharType="end"/>
      </w:r>
    </w:p>
    <w:p>
      <w:pPr>
        <w:pStyle w:val="11"/>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30"/>
        </w:rPr>
        <w:t>3.环境风险源及环境风险评价</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_Toc921 </w:instrText>
      </w:r>
      <w:r>
        <w:rPr>
          <w:rFonts w:ascii="Times New Roman" w:hAnsi="Times New Roman" w:eastAsia="宋体"/>
          <w:sz w:val="24"/>
        </w:rPr>
        <w:fldChar w:fldCharType="separate"/>
      </w:r>
      <w:r>
        <w:rPr>
          <w:rFonts w:ascii="Times New Roman" w:hAnsi="Times New Roman" w:eastAsia="宋体"/>
          <w:sz w:val="24"/>
        </w:rPr>
        <w:t>42</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3.1环境风险源识别</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_Toc16408 </w:instrText>
      </w:r>
      <w:r>
        <w:rPr>
          <w:rFonts w:ascii="Times New Roman" w:hAnsi="Times New Roman" w:eastAsia="宋体"/>
          <w:sz w:val="24"/>
        </w:rPr>
        <w:fldChar w:fldCharType="separate"/>
      </w:r>
      <w:r>
        <w:rPr>
          <w:rFonts w:ascii="Times New Roman" w:hAnsi="Times New Roman" w:eastAsia="宋体"/>
          <w:sz w:val="24"/>
        </w:rPr>
        <w:t>42</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3.1.1环境风险定义</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_Toc15553 </w:instrText>
      </w:r>
      <w:r>
        <w:rPr>
          <w:rFonts w:ascii="Times New Roman" w:hAnsi="Times New Roman" w:eastAsia="宋体"/>
          <w:sz w:val="24"/>
        </w:rPr>
        <w:fldChar w:fldCharType="separate"/>
      </w:r>
      <w:r>
        <w:rPr>
          <w:rFonts w:ascii="Times New Roman" w:hAnsi="Times New Roman" w:eastAsia="宋体"/>
          <w:sz w:val="24"/>
        </w:rPr>
        <w:t>42</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3.1.2环境风险物质</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_Toc24519 </w:instrText>
      </w:r>
      <w:r>
        <w:rPr>
          <w:rFonts w:ascii="Times New Roman" w:hAnsi="Times New Roman" w:eastAsia="宋体"/>
          <w:sz w:val="24"/>
        </w:rPr>
        <w:fldChar w:fldCharType="separate"/>
      </w:r>
      <w:r>
        <w:rPr>
          <w:rFonts w:ascii="Times New Roman" w:hAnsi="Times New Roman" w:eastAsia="宋体"/>
          <w:sz w:val="24"/>
        </w:rPr>
        <w:t>42</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3.2 环境风险分析</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_Toc23908 </w:instrText>
      </w:r>
      <w:r>
        <w:rPr>
          <w:rFonts w:ascii="Times New Roman" w:hAnsi="Times New Roman" w:eastAsia="宋体"/>
          <w:sz w:val="24"/>
        </w:rPr>
        <w:fldChar w:fldCharType="separate"/>
      </w:r>
      <w:r>
        <w:rPr>
          <w:rFonts w:ascii="Times New Roman" w:hAnsi="Times New Roman" w:eastAsia="宋体"/>
          <w:sz w:val="24"/>
        </w:rPr>
        <w:t>46</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3.2.1 火灾、爆炸</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_Toc23410 </w:instrText>
      </w:r>
      <w:r>
        <w:rPr>
          <w:rFonts w:ascii="Times New Roman" w:hAnsi="Times New Roman" w:eastAsia="宋体"/>
          <w:sz w:val="24"/>
        </w:rPr>
        <w:fldChar w:fldCharType="separate"/>
      </w:r>
      <w:r>
        <w:rPr>
          <w:rFonts w:ascii="Times New Roman" w:hAnsi="Times New Roman" w:eastAsia="宋体"/>
          <w:sz w:val="24"/>
        </w:rPr>
        <w:t>46</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3.2.2 静电</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_Toc15303 </w:instrText>
      </w:r>
      <w:r>
        <w:rPr>
          <w:rFonts w:ascii="Times New Roman" w:hAnsi="Times New Roman" w:eastAsia="宋体"/>
          <w:sz w:val="24"/>
        </w:rPr>
        <w:fldChar w:fldCharType="separate"/>
      </w:r>
      <w:r>
        <w:rPr>
          <w:rFonts w:ascii="Times New Roman" w:hAnsi="Times New Roman" w:eastAsia="宋体"/>
          <w:sz w:val="24"/>
        </w:rPr>
        <w:t>47</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3.2.3 中毒</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_Toc3517 </w:instrText>
      </w:r>
      <w:r>
        <w:rPr>
          <w:rFonts w:ascii="Times New Roman" w:hAnsi="Times New Roman" w:eastAsia="宋体"/>
          <w:sz w:val="24"/>
        </w:rPr>
        <w:fldChar w:fldCharType="separate"/>
      </w:r>
      <w:r>
        <w:rPr>
          <w:rFonts w:ascii="Times New Roman" w:hAnsi="Times New Roman" w:eastAsia="宋体"/>
          <w:sz w:val="24"/>
        </w:rPr>
        <w:t>47</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3.2.4 加油站作业风险分析</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_Toc30633 </w:instrText>
      </w:r>
      <w:r>
        <w:rPr>
          <w:rFonts w:ascii="Times New Roman" w:hAnsi="Times New Roman" w:eastAsia="宋体"/>
          <w:sz w:val="24"/>
        </w:rPr>
        <w:fldChar w:fldCharType="separate"/>
      </w:r>
      <w:r>
        <w:rPr>
          <w:rFonts w:ascii="Times New Roman" w:hAnsi="Times New Roman" w:eastAsia="宋体"/>
          <w:sz w:val="24"/>
        </w:rPr>
        <w:t>47</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3.2.5 非作业事故分析</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_Toc12399 </w:instrText>
      </w:r>
      <w:r>
        <w:rPr>
          <w:rFonts w:ascii="Times New Roman" w:hAnsi="Times New Roman" w:eastAsia="宋体"/>
          <w:sz w:val="24"/>
        </w:rPr>
        <w:fldChar w:fldCharType="separate"/>
      </w:r>
      <w:r>
        <w:rPr>
          <w:rFonts w:ascii="Times New Roman" w:hAnsi="Times New Roman" w:eastAsia="宋体"/>
          <w:sz w:val="24"/>
        </w:rPr>
        <w:t>48</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3.3风险事故环境影响评价</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_Toc8365 </w:instrText>
      </w:r>
      <w:r>
        <w:rPr>
          <w:rFonts w:ascii="Times New Roman" w:hAnsi="Times New Roman" w:eastAsia="宋体"/>
          <w:sz w:val="24"/>
        </w:rPr>
        <w:fldChar w:fldCharType="separate"/>
      </w:r>
      <w:r>
        <w:rPr>
          <w:rFonts w:ascii="Times New Roman" w:hAnsi="Times New Roman" w:eastAsia="宋体"/>
          <w:sz w:val="24"/>
        </w:rPr>
        <w:t>49</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3.3.1油品泄漏引起的环境污染事故</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_Toc17836 </w:instrText>
      </w:r>
      <w:r>
        <w:rPr>
          <w:rFonts w:ascii="Times New Roman" w:hAnsi="Times New Roman" w:eastAsia="宋体"/>
          <w:sz w:val="24"/>
        </w:rPr>
        <w:fldChar w:fldCharType="separate"/>
      </w:r>
      <w:r>
        <w:rPr>
          <w:rFonts w:ascii="Times New Roman" w:hAnsi="Times New Roman" w:eastAsia="宋体"/>
          <w:sz w:val="24"/>
        </w:rPr>
        <w:t>49</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3.3.2 火灾、爆炸事故环境影响</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_Toc25912 </w:instrText>
      </w:r>
      <w:r>
        <w:rPr>
          <w:rFonts w:ascii="Times New Roman" w:hAnsi="Times New Roman" w:eastAsia="宋体"/>
          <w:sz w:val="24"/>
        </w:rPr>
        <w:fldChar w:fldCharType="separate"/>
      </w:r>
      <w:r>
        <w:rPr>
          <w:rFonts w:ascii="Times New Roman" w:hAnsi="Times New Roman" w:eastAsia="宋体"/>
          <w:sz w:val="24"/>
        </w:rPr>
        <w:t>50</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3.3.3小结</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_Toc19438 </w:instrText>
      </w:r>
      <w:r>
        <w:rPr>
          <w:rFonts w:ascii="Times New Roman" w:hAnsi="Times New Roman" w:eastAsia="宋体"/>
          <w:sz w:val="24"/>
        </w:rPr>
        <w:fldChar w:fldCharType="separate"/>
      </w:r>
      <w:r>
        <w:rPr>
          <w:rFonts w:ascii="Times New Roman" w:hAnsi="Times New Roman" w:eastAsia="宋体"/>
          <w:sz w:val="24"/>
        </w:rPr>
        <w:t>50</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3.4风险事故管理</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_Toc13549 </w:instrText>
      </w:r>
      <w:r>
        <w:rPr>
          <w:rFonts w:ascii="Times New Roman" w:hAnsi="Times New Roman" w:eastAsia="宋体"/>
          <w:sz w:val="24"/>
        </w:rPr>
        <w:fldChar w:fldCharType="separate"/>
      </w:r>
      <w:r>
        <w:rPr>
          <w:rFonts w:ascii="Times New Roman" w:hAnsi="Times New Roman" w:eastAsia="宋体"/>
          <w:sz w:val="24"/>
        </w:rPr>
        <w:t>51</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3.4.1环境事故预防措施</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_Toc6903 </w:instrText>
      </w:r>
      <w:r>
        <w:rPr>
          <w:rFonts w:ascii="Times New Roman" w:hAnsi="Times New Roman" w:eastAsia="宋体"/>
          <w:sz w:val="24"/>
        </w:rPr>
        <w:fldChar w:fldCharType="separate"/>
      </w:r>
      <w:r>
        <w:rPr>
          <w:rFonts w:ascii="Times New Roman" w:hAnsi="Times New Roman" w:eastAsia="宋体"/>
          <w:sz w:val="24"/>
        </w:rPr>
        <w:t>51</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3.4.2环境事故发生后措施</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_Toc23672 </w:instrText>
      </w:r>
      <w:r>
        <w:rPr>
          <w:rFonts w:ascii="Times New Roman" w:hAnsi="Times New Roman" w:eastAsia="宋体"/>
          <w:sz w:val="24"/>
        </w:rPr>
        <w:fldChar w:fldCharType="separate"/>
      </w:r>
      <w:r>
        <w:rPr>
          <w:rFonts w:ascii="Times New Roman" w:hAnsi="Times New Roman" w:eastAsia="宋体"/>
          <w:sz w:val="24"/>
        </w:rPr>
        <w:t>53</w:t>
      </w:r>
      <w:r>
        <w:rPr>
          <w:rFonts w:ascii="Times New Roman" w:hAnsi="Times New Roman" w:eastAsia="宋体"/>
          <w:sz w:val="24"/>
        </w:rPr>
        <w:fldChar w:fldCharType="end"/>
      </w:r>
    </w:p>
    <w:p>
      <w:pPr>
        <w:pStyle w:val="11"/>
        <w:tabs>
          <w:tab w:val="right" w:leader="dot" w:pos="9760"/>
        </w:tabs>
        <w:rPr>
          <w:rFonts w:ascii="Times New Roman" w:hAnsi="Times New Roman" w:eastAsia="宋体"/>
          <w:sz w:val="24"/>
        </w:rPr>
      </w:pPr>
      <w:r>
        <w:rPr>
          <w:rFonts w:ascii="Times New Roman" w:hAnsi="Times New Roman" w:eastAsia="宋体"/>
          <w:color w:val="000000" w:themeColor="text1"/>
          <w:sz w:val="24"/>
          <w:szCs w:val="30"/>
        </w:rPr>
        <w:t>4、组织机构和职责</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_Toc30984 </w:instrText>
      </w:r>
      <w:r>
        <w:rPr>
          <w:rFonts w:ascii="Times New Roman" w:hAnsi="Times New Roman" w:eastAsia="宋体"/>
          <w:sz w:val="24"/>
        </w:rPr>
        <w:fldChar w:fldCharType="separate"/>
      </w:r>
      <w:r>
        <w:rPr>
          <w:rFonts w:ascii="Times New Roman" w:hAnsi="Times New Roman" w:eastAsia="宋体"/>
          <w:sz w:val="24"/>
        </w:rPr>
        <w:t>55</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4.1应急组织机构体系</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_Toc3145 </w:instrText>
      </w:r>
      <w:r>
        <w:rPr>
          <w:rFonts w:ascii="Times New Roman" w:hAnsi="Times New Roman" w:eastAsia="宋体"/>
          <w:sz w:val="24"/>
        </w:rPr>
        <w:fldChar w:fldCharType="separate"/>
      </w:r>
      <w:r>
        <w:rPr>
          <w:rFonts w:ascii="Times New Roman" w:hAnsi="Times New Roman" w:eastAsia="宋体"/>
          <w:sz w:val="24"/>
        </w:rPr>
        <w:t>55</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4.2指挥机构及职责</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_Toc13095 </w:instrText>
      </w:r>
      <w:r>
        <w:rPr>
          <w:rFonts w:ascii="Times New Roman" w:hAnsi="Times New Roman" w:eastAsia="宋体"/>
          <w:sz w:val="24"/>
        </w:rPr>
        <w:fldChar w:fldCharType="separate"/>
      </w:r>
      <w:r>
        <w:rPr>
          <w:rFonts w:ascii="Times New Roman" w:hAnsi="Times New Roman" w:eastAsia="宋体"/>
          <w:sz w:val="24"/>
        </w:rPr>
        <w:t>55</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4.3应急指挥运行机制</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_Toc2653 </w:instrText>
      </w:r>
      <w:r>
        <w:rPr>
          <w:rFonts w:ascii="Times New Roman" w:hAnsi="Times New Roman" w:eastAsia="宋体"/>
          <w:sz w:val="24"/>
        </w:rPr>
        <w:fldChar w:fldCharType="separate"/>
      </w:r>
      <w:r>
        <w:rPr>
          <w:rFonts w:ascii="Times New Roman" w:hAnsi="Times New Roman" w:eastAsia="宋体"/>
          <w:sz w:val="24"/>
        </w:rPr>
        <w:t>57</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4.4加油站现场应急处理分级</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_Toc6201 </w:instrText>
      </w:r>
      <w:r>
        <w:rPr>
          <w:rFonts w:ascii="Times New Roman" w:hAnsi="Times New Roman" w:eastAsia="宋体"/>
          <w:sz w:val="24"/>
        </w:rPr>
        <w:fldChar w:fldCharType="separate"/>
      </w:r>
      <w:r>
        <w:rPr>
          <w:rFonts w:ascii="Times New Roman" w:hAnsi="Times New Roman" w:eastAsia="宋体"/>
          <w:sz w:val="24"/>
        </w:rPr>
        <w:t>58</w:t>
      </w:r>
      <w:r>
        <w:rPr>
          <w:rFonts w:ascii="Times New Roman" w:hAnsi="Times New Roman" w:eastAsia="宋体"/>
          <w:sz w:val="24"/>
        </w:rPr>
        <w:fldChar w:fldCharType="end"/>
      </w:r>
    </w:p>
    <w:p>
      <w:pPr>
        <w:pStyle w:val="11"/>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30"/>
        </w:rPr>
        <w:t>5.预防和预警</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_Toc3934 </w:instrText>
      </w:r>
      <w:r>
        <w:rPr>
          <w:rFonts w:ascii="Times New Roman" w:hAnsi="Times New Roman" w:eastAsia="宋体"/>
          <w:sz w:val="24"/>
        </w:rPr>
        <w:fldChar w:fldCharType="separate"/>
      </w:r>
      <w:r>
        <w:rPr>
          <w:rFonts w:ascii="Times New Roman" w:hAnsi="Times New Roman" w:eastAsia="宋体"/>
          <w:sz w:val="24"/>
        </w:rPr>
        <w:t>60</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5.1预防</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_Toc30259 </w:instrText>
      </w:r>
      <w:r>
        <w:rPr>
          <w:rFonts w:ascii="Times New Roman" w:hAnsi="Times New Roman" w:eastAsia="宋体"/>
          <w:sz w:val="24"/>
        </w:rPr>
        <w:fldChar w:fldCharType="separate"/>
      </w:r>
      <w:r>
        <w:rPr>
          <w:rFonts w:ascii="Times New Roman" w:hAnsi="Times New Roman" w:eastAsia="宋体"/>
          <w:sz w:val="24"/>
        </w:rPr>
        <w:t>60</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5.2环境风险源监控</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_Toc4501 </w:instrText>
      </w:r>
      <w:r>
        <w:rPr>
          <w:rFonts w:ascii="Times New Roman" w:hAnsi="Times New Roman" w:eastAsia="宋体"/>
          <w:sz w:val="24"/>
        </w:rPr>
        <w:fldChar w:fldCharType="separate"/>
      </w:r>
      <w:r>
        <w:rPr>
          <w:rFonts w:ascii="Times New Roman" w:hAnsi="Times New Roman" w:eastAsia="宋体"/>
          <w:sz w:val="24"/>
        </w:rPr>
        <w:t>61</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5.2.1主要危险源及监控</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_Toc29120 </w:instrText>
      </w:r>
      <w:r>
        <w:rPr>
          <w:rFonts w:ascii="Times New Roman" w:hAnsi="Times New Roman" w:eastAsia="宋体"/>
          <w:sz w:val="24"/>
        </w:rPr>
        <w:fldChar w:fldCharType="separate"/>
      </w:r>
      <w:r>
        <w:rPr>
          <w:rFonts w:ascii="Times New Roman" w:hAnsi="Times New Roman" w:eastAsia="宋体"/>
          <w:sz w:val="24"/>
        </w:rPr>
        <w:t>61</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5.2.2危险目标周围可利用的安全、消防、个体防护的设备、器材</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_Toc5244 </w:instrText>
      </w:r>
      <w:r>
        <w:rPr>
          <w:rFonts w:ascii="Times New Roman" w:hAnsi="Times New Roman" w:eastAsia="宋体"/>
          <w:sz w:val="24"/>
        </w:rPr>
        <w:fldChar w:fldCharType="separate"/>
      </w:r>
      <w:r>
        <w:rPr>
          <w:rFonts w:ascii="Times New Roman" w:hAnsi="Times New Roman" w:eastAsia="宋体"/>
          <w:sz w:val="24"/>
        </w:rPr>
        <w:t>61</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5.3应急能力评估</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_Toc5119 </w:instrText>
      </w:r>
      <w:r>
        <w:rPr>
          <w:rFonts w:ascii="Times New Roman" w:hAnsi="Times New Roman" w:eastAsia="宋体"/>
          <w:sz w:val="24"/>
        </w:rPr>
        <w:fldChar w:fldCharType="separate"/>
      </w:r>
      <w:r>
        <w:rPr>
          <w:rFonts w:ascii="Times New Roman" w:hAnsi="Times New Roman" w:eastAsia="宋体"/>
          <w:sz w:val="24"/>
        </w:rPr>
        <w:t>61</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5.3.1应急队伍、装备、物资</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_Toc2562 </w:instrText>
      </w:r>
      <w:r>
        <w:rPr>
          <w:rFonts w:ascii="Times New Roman" w:hAnsi="Times New Roman" w:eastAsia="宋体"/>
          <w:sz w:val="24"/>
        </w:rPr>
        <w:fldChar w:fldCharType="separate"/>
      </w:r>
      <w:r>
        <w:rPr>
          <w:rFonts w:ascii="Times New Roman" w:hAnsi="Times New Roman" w:eastAsia="宋体"/>
          <w:sz w:val="24"/>
        </w:rPr>
        <w:t>62</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5.3.2评估结论</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_Toc1864 </w:instrText>
      </w:r>
      <w:r>
        <w:rPr>
          <w:rFonts w:ascii="Times New Roman" w:hAnsi="Times New Roman" w:eastAsia="宋体"/>
          <w:sz w:val="24"/>
        </w:rPr>
        <w:fldChar w:fldCharType="separate"/>
      </w:r>
      <w:r>
        <w:rPr>
          <w:rFonts w:ascii="Times New Roman" w:hAnsi="Times New Roman" w:eastAsia="宋体"/>
          <w:sz w:val="24"/>
        </w:rPr>
        <w:t>62</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24"/>
        </w:rPr>
        <w:t>5.4预警行动</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_Toc31413 </w:instrText>
      </w:r>
      <w:r>
        <w:rPr>
          <w:rFonts w:ascii="Times New Roman" w:hAnsi="Times New Roman" w:eastAsia="宋体"/>
          <w:sz w:val="24"/>
        </w:rPr>
        <w:fldChar w:fldCharType="separate"/>
      </w:r>
      <w:r>
        <w:rPr>
          <w:rFonts w:ascii="Times New Roman" w:hAnsi="Times New Roman" w:eastAsia="宋体"/>
          <w:sz w:val="24"/>
        </w:rPr>
        <w:t>63</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5.5报警、通讯联络方式</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_Toc802 </w:instrText>
      </w:r>
      <w:r>
        <w:rPr>
          <w:rFonts w:ascii="Times New Roman" w:hAnsi="Times New Roman" w:eastAsia="宋体"/>
          <w:sz w:val="24"/>
        </w:rPr>
        <w:fldChar w:fldCharType="separate"/>
      </w:r>
      <w:r>
        <w:rPr>
          <w:rFonts w:ascii="Times New Roman" w:hAnsi="Times New Roman" w:eastAsia="宋体"/>
          <w:sz w:val="24"/>
        </w:rPr>
        <w:t>65</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5.5.1事故报警与救援程序</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_Toc5229 </w:instrText>
      </w:r>
      <w:r>
        <w:rPr>
          <w:rFonts w:ascii="Times New Roman" w:hAnsi="Times New Roman" w:eastAsia="宋体"/>
          <w:sz w:val="24"/>
        </w:rPr>
        <w:fldChar w:fldCharType="separate"/>
      </w:r>
      <w:r>
        <w:rPr>
          <w:rFonts w:ascii="Times New Roman" w:hAnsi="Times New Roman" w:eastAsia="宋体"/>
          <w:sz w:val="24"/>
        </w:rPr>
        <w:t>65</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5.5.1 报警联络方式</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_Toc10439 </w:instrText>
      </w:r>
      <w:r>
        <w:rPr>
          <w:rFonts w:ascii="Times New Roman" w:hAnsi="Times New Roman" w:eastAsia="宋体"/>
          <w:sz w:val="24"/>
        </w:rPr>
        <w:fldChar w:fldCharType="separate"/>
      </w:r>
      <w:r>
        <w:rPr>
          <w:rFonts w:ascii="Times New Roman" w:hAnsi="Times New Roman" w:eastAsia="宋体"/>
          <w:sz w:val="24"/>
        </w:rPr>
        <w:t>66</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5.5.2 内部通讯方式</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_Toc31540 </w:instrText>
      </w:r>
      <w:r>
        <w:rPr>
          <w:rFonts w:ascii="Times New Roman" w:hAnsi="Times New Roman" w:eastAsia="宋体"/>
          <w:sz w:val="24"/>
        </w:rPr>
        <w:fldChar w:fldCharType="separate"/>
      </w:r>
      <w:r>
        <w:rPr>
          <w:rFonts w:ascii="Times New Roman" w:hAnsi="Times New Roman" w:eastAsia="宋体"/>
          <w:sz w:val="24"/>
        </w:rPr>
        <w:t>66</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5.5.3 外部通讯方式</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_Toc23788 </w:instrText>
      </w:r>
      <w:r>
        <w:rPr>
          <w:rFonts w:ascii="Times New Roman" w:hAnsi="Times New Roman" w:eastAsia="宋体"/>
          <w:sz w:val="24"/>
        </w:rPr>
        <w:fldChar w:fldCharType="separate"/>
      </w:r>
      <w:r>
        <w:rPr>
          <w:rFonts w:ascii="Times New Roman" w:hAnsi="Times New Roman" w:eastAsia="宋体"/>
          <w:sz w:val="24"/>
        </w:rPr>
        <w:t>66</w:t>
      </w:r>
      <w:r>
        <w:rPr>
          <w:rFonts w:ascii="Times New Roman" w:hAnsi="Times New Roman" w:eastAsia="宋体"/>
          <w:sz w:val="24"/>
        </w:rPr>
        <w:fldChar w:fldCharType="end"/>
      </w:r>
    </w:p>
    <w:p>
      <w:pPr>
        <w:pStyle w:val="11"/>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30"/>
        </w:rPr>
        <w:t>6、信息报告与通报</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_Toc22137 </w:instrText>
      </w:r>
      <w:r>
        <w:rPr>
          <w:rFonts w:ascii="Times New Roman" w:hAnsi="Times New Roman" w:eastAsia="宋体"/>
          <w:sz w:val="24"/>
        </w:rPr>
        <w:fldChar w:fldCharType="separate"/>
      </w:r>
      <w:r>
        <w:rPr>
          <w:rFonts w:ascii="Times New Roman" w:hAnsi="Times New Roman" w:eastAsia="宋体"/>
          <w:sz w:val="24"/>
        </w:rPr>
        <w:t>68</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6.1信息报告</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_Toc20647 </w:instrText>
      </w:r>
      <w:r>
        <w:rPr>
          <w:rFonts w:ascii="Times New Roman" w:hAnsi="Times New Roman" w:eastAsia="宋体"/>
          <w:sz w:val="24"/>
        </w:rPr>
        <w:fldChar w:fldCharType="separate"/>
      </w:r>
      <w:r>
        <w:rPr>
          <w:rFonts w:ascii="Times New Roman" w:hAnsi="Times New Roman" w:eastAsia="宋体"/>
          <w:sz w:val="24"/>
        </w:rPr>
        <w:t>68</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6.1.1信息报告程序</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_Toc9425 </w:instrText>
      </w:r>
      <w:r>
        <w:rPr>
          <w:rFonts w:ascii="Times New Roman" w:hAnsi="Times New Roman" w:eastAsia="宋体"/>
          <w:sz w:val="24"/>
        </w:rPr>
        <w:fldChar w:fldCharType="separate"/>
      </w:r>
      <w:r>
        <w:rPr>
          <w:rFonts w:ascii="Times New Roman" w:hAnsi="Times New Roman" w:eastAsia="宋体"/>
          <w:sz w:val="24"/>
        </w:rPr>
        <w:t>68</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6.1.2事故报告内容</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_Toc15016 </w:instrText>
      </w:r>
      <w:r>
        <w:rPr>
          <w:rFonts w:ascii="Times New Roman" w:hAnsi="Times New Roman" w:eastAsia="宋体"/>
          <w:sz w:val="24"/>
        </w:rPr>
        <w:fldChar w:fldCharType="separate"/>
      </w:r>
      <w:r>
        <w:rPr>
          <w:rFonts w:ascii="Times New Roman" w:hAnsi="Times New Roman" w:eastAsia="宋体"/>
          <w:sz w:val="24"/>
        </w:rPr>
        <w:t>68</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6.2信息上报</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_Toc29397 </w:instrText>
      </w:r>
      <w:r>
        <w:rPr>
          <w:rFonts w:ascii="Times New Roman" w:hAnsi="Times New Roman" w:eastAsia="宋体"/>
          <w:sz w:val="24"/>
        </w:rPr>
        <w:fldChar w:fldCharType="separate"/>
      </w:r>
      <w:r>
        <w:rPr>
          <w:rFonts w:ascii="Times New Roman" w:hAnsi="Times New Roman" w:eastAsia="宋体"/>
          <w:sz w:val="24"/>
        </w:rPr>
        <w:t>69</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6.3信息传递</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_Toc2852 </w:instrText>
      </w:r>
      <w:r>
        <w:rPr>
          <w:rFonts w:ascii="Times New Roman" w:hAnsi="Times New Roman" w:eastAsia="宋体"/>
          <w:sz w:val="24"/>
        </w:rPr>
        <w:fldChar w:fldCharType="separate"/>
      </w:r>
      <w:r>
        <w:rPr>
          <w:rFonts w:ascii="Times New Roman" w:hAnsi="Times New Roman" w:eastAsia="宋体"/>
          <w:sz w:val="24"/>
        </w:rPr>
        <w:t>69</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6.4 信息发布</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_Toc13794 </w:instrText>
      </w:r>
      <w:r>
        <w:rPr>
          <w:rFonts w:ascii="Times New Roman" w:hAnsi="Times New Roman" w:eastAsia="宋体"/>
          <w:sz w:val="24"/>
        </w:rPr>
        <w:fldChar w:fldCharType="separate"/>
      </w:r>
      <w:r>
        <w:rPr>
          <w:rFonts w:ascii="Times New Roman" w:hAnsi="Times New Roman" w:eastAsia="宋体"/>
          <w:sz w:val="24"/>
        </w:rPr>
        <w:t>69</w:t>
      </w:r>
      <w:r>
        <w:rPr>
          <w:rFonts w:ascii="Times New Roman" w:hAnsi="Times New Roman" w:eastAsia="宋体"/>
          <w:sz w:val="24"/>
        </w:rPr>
        <w:fldChar w:fldCharType="end"/>
      </w:r>
    </w:p>
    <w:p>
      <w:pPr>
        <w:pStyle w:val="11"/>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30"/>
        </w:rPr>
        <w:t>7、应急响应与措施</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_Toc30750 </w:instrText>
      </w:r>
      <w:r>
        <w:rPr>
          <w:rFonts w:ascii="Times New Roman" w:hAnsi="Times New Roman" w:eastAsia="宋体"/>
          <w:sz w:val="24"/>
        </w:rPr>
        <w:fldChar w:fldCharType="separate"/>
      </w:r>
      <w:r>
        <w:rPr>
          <w:rFonts w:ascii="Times New Roman" w:hAnsi="Times New Roman" w:eastAsia="宋体"/>
          <w:sz w:val="24"/>
        </w:rPr>
        <w:t>70</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7.1分级响应机制</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_Toc20918 </w:instrText>
      </w:r>
      <w:r>
        <w:rPr>
          <w:rFonts w:ascii="Times New Roman" w:hAnsi="Times New Roman" w:eastAsia="宋体"/>
          <w:sz w:val="24"/>
        </w:rPr>
        <w:fldChar w:fldCharType="separate"/>
      </w:r>
      <w:r>
        <w:rPr>
          <w:rFonts w:ascii="Times New Roman" w:hAnsi="Times New Roman" w:eastAsia="宋体"/>
          <w:sz w:val="24"/>
        </w:rPr>
        <w:t>70</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7.2响应程序</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_Toc27893 </w:instrText>
      </w:r>
      <w:r>
        <w:rPr>
          <w:rFonts w:ascii="Times New Roman" w:hAnsi="Times New Roman" w:eastAsia="宋体"/>
          <w:sz w:val="24"/>
        </w:rPr>
        <w:fldChar w:fldCharType="separate"/>
      </w:r>
      <w:r>
        <w:rPr>
          <w:rFonts w:ascii="Times New Roman" w:hAnsi="Times New Roman" w:eastAsia="宋体"/>
          <w:sz w:val="24"/>
        </w:rPr>
        <w:t>71</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7.3应急措施</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_Toc18515 </w:instrText>
      </w:r>
      <w:r>
        <w:rPr>
          <w:rFonts w:ascii="Times New Roman" w:hAnsi="Times New Roman" w:eastAsia="宋体"/>
          <w:sz w:val="24"/>
        </w:rPr>
        <w:fldChar w:fldCharType="separate"/>
      </w:r>
      <w:r>
        <w:rPr>
          <w:rFonts w:ascii="Times New Roman" w:hAnsi="Times New Roman" w:eastAsia="宋体"/>
          <w:sz w:val="24"/>
        </w:rPr>
        <w:t>71</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hint="eastAsia" w:ascii="Times New Roman" w:hAnsi="Times New Roman" w:eastAsia="宋体" w:cs="Times New Roman"/>
          <w:color w:val="000000" w:themeColor="text1"/>
          <w:sz w:val="24"/>
          <w:szCs w:val="24"/>
          <w:lang w:val="en-US" w:eastAsia="zh-CN"/>
        </w:rPr>
        <w:t>7.3.1 预案启动</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_Toc32604 </w:instrText>
      </w:r>
      <w:r>
        <w:rPr>
          <w:rFonts w:ascii="Times New Roman" w:hAnsi="Times New Roman" w:eastAsia="宋体"/>
          <w:sz w:val="24"/>
        </w:rPr>
        <w:fldChar w:fldCharType="separate"/>
      </w:r>
      <w:r>
        <w:rPr>
          <w:rFonts w:ascii="Times New Roman" w:hAnsi="Times New Roman" w:eastAsia="宋体"/>
          <w:sz w:val="24"/>
        </w:rPr>
        <w:t>72</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7.3.</w:t>
      </w:r>
      <w:r>
        <w:rPr>
          <w:rFonts w:hint="eastAsia" w:ascii="Times New Roman" w:hAnsi="Times New Roman" w:eastAsia="宋体" w:cs="Times New Roman"/>
          <w:color w:val="000000" w:themeColor="text1"/>
          <w:sz w:val="24"/>
          <w:szCs w:val="24"/>
          <w:lang w:val="en-US" w:eastAsia="zh-CN"/>
        </w:rPr>
        <w:t>2</w:t>
      </w:r>
      <w:r>
        <w:rPr>
          <w:rFonts w:ascii="Times New Roman" w:hAnsi="Times New Roman" w:eastAsia="宋体" w:cs="Times New Roman"/>
          <w:color w:val="000000" w:themeColor="text1"/>
          <w:sz w:val="24"/>
          <w:szCs w:val="24"/>
        </w:rPr>
        <w:t xml:space="preserve"> 作业现场、油罐区跑、冒、滴、漏应急处理</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_Toc19845 </w:instrText>
      </w:r>
      <w:r>
        <w:rPr>
          <w:rFonts w:ascii="Times New Roman" w:hAnsi="Times New Roman" w:eastAsia="宋体"/>
          <w:sz w:val="24"/>
        </w:rPr>
        <w:fldChar w:fldCharType="separate"/>
      </w:r>
      <w:r>
        <w:rPr>
          <w:rFonts w:ascii="Times New Roman" w:hAnsi="Times New Roman" w:eastAsia="宋体"/>
          <w:sz w:val="24"/>
        </w:rPr>
        <w:t>72</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7.3.</w:t>
      </w:r>
      <w:r>
        <w:rPr>
          <w:rFonts w:hint="eastAsia" w:ascii="Times New Roman" w:hAnsi="Times New Roman" w:eastAsia="宋体" w:cs="Times New Roman"/>
          <w:color w:val="000000" w:themeColor="text1"/>
          <w:sz w:val="24"/>
          <w:szCs w:val="24"/>
          <w:lang w:val="en-US" w:eastAsia="zh-CN"/>
        </w:rPr>
        <w:t>3</w:t>
      </w:r>
      <w:r>
        <w:rPr>
          <w:rFonts w:ascii="Times New Roman" w:hAnsi="Times New Roman" w:eastAsia="宋体" w:cs="Times New Roman"/>
          <w:color w:val="000000" w:themeColor="text1"/>
          <w:sz w:val="24"/>
          <w:szCs w:val="24"/>
        </w:rPr>
        <w:t xml:space="preserve"> 加油、卸油现场火灾应急处理</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_Toc23854 </w:instrText>
      </w:r>
      <w:r>
        <w:rPr>
          <w:rFonts w:ascii="Times New Roman" w:hAnsi="Times New Roman" w:eastAsia="宋体"/>
          <w:sz w:val="24"/>
        </w:rPr>
        <w:fldChar w:fldCharType="separate"/>
      </w:r>
      <w:r>
        <w:rPr>
          <w:rFonts w:ascii="Times New Roman" w:hAnsi="Times New Roman" w:eastAsia="宋体"/>
          <w:sz w:val="24"/>
        </w:rPr>
        <w:t>74</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7.3.</w:t>
      </w:r>
      <w:r>
        <w:rPr>
          <w:rFonts w:hint="eastAsia" w:ascii="Times New Roman" w:hAnsi="Times New Roman" w:eastAsia="宋体" w:cs="Times New Roman"/>
          <w:color w:val="000000" w:themeColor="text1"/>
          <w:sz w:val="24"/>
          <w:szCs w:val="24"/>
          <w:lang w:val="en-US" w:eastAsia="zh-CN"/>
        </w:rPr>
        <w:t>4</w:t>
      </w:r>
      <w:r>
        <w:rPr>
          <w:rFonts w:ascii="Times New Roman" w:hAnsi="Times New Roman" w:eastAsia="宋体" w:cs="Times New Roman"/>
          <w:color w:val="000000" w:themeColor="text1"/>
          <w:sz w:val="24"/>
          <w:szCs w:val="24"/>
        </w:rPr>
        <w:t>车辆火灾应急处理</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_Toc1017 </w:instrText>
      </w:r>
      <w:r>
        <w:rPr>
          <w:rFonts w:ascii="Times New Roman" w:hAnsi="Times New Roman" w:eastAsia="宋体"/>
          <w:sz w:val="24"/>
        </w:rPr>
        <w:fldChar w:fldCharType="separate"/>
      </w:r>
      <w:r>
        <w:rPr>
          <w:rFonts w:ascii="Times New Roman" w:hAnsi="Times New Roman" w:eastAsia="宋体"/>
          <w:sz w:val="24"/>
        </w:rPr>
        <w:t>75</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7.3.</w:t>
      </w:r>
      <w:r>
        <w:rPr>
          <w:rFonts w:hint="eastAsia" w:ascii="Times New Roman" w:hAnsi="Times New Roman" w:eastAsia="宋体" w:cs="Times New Roman"/>
          <w:color w:val="000000" w:themeColor="text1"/>
          <w:sz w:val="24"/>
          <w:szCs w:val="24"/>
          <w:lang w:val="en-US" w:eastAsia="zh-CN"/>
        </w:rPr>
        <w:t xml:space="preserve">5 </w:t>
      </w:r>
      <w:r>
        <w:rPr>
          <w:rFonts w:ascii="Times New Roman" w:hAnsi="Times New Roman" w:eastAsia="宋体" w:cs="Times New Roman"/>
          <w:color w:val="000000" w:themeColor="text1"/>
          <w:sz w:val="24"/>
          <w:szCs w:val="24"/>
        </w:rPr>
        <w:t>电器火灾应急处理</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_Toc438 </w:instrText>
      </w:r>
      <w:r>
        <w:rPr>
          <w:rFonts w:ascii="Times New Roman" w:hAnsi="Times New Roman" w:eastAsia="宋体"/>
          <w:sz w:val="24"/>
        </w:rPr>
        <w:fldChar w:fldCharType="separate"/>
      </w:r>
      <w:r>
        <w:rPr>
          <w:rFonts w:ascii="Times New Roman" w:hAnsi="Times New Roman" w:eastAsia="宋体"/>
          <w:sz w:val="24"/>
        </w:rPr>
        <w:t>76</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7.3.</w:t>
      </w:r>
      <w:r>
        <w:rPr>
          <w:rFonts w:hint="eastAsia" w:ascii="Times New Roman" w:hAnsi="Times New Roman" w:eastAsia="宋体" w:cs="Times New Roman"/>
          <w:color w:val="000000" w:themeColor="text1"/>
          <w:sz w:val="24"/>
          <w:szCs w:val="24"/>
          <w:lang w:val="en-US" w:eastAsia="zh-CN"/>
        </w:rPr>
        <w:t>6</w:t>
      </w:r>
      <w:r>
        <w:rPr>
          <w:rFonts w:ascii="Times New Roman" w:hAnsi="Times New Roman" w:eastAsia="宋体" w:cs="Times New Roman"/>
          <w:color w:val="000000" w:themeColor="text1"/>
          <w:sz w:val="24"/>
          <w:szCs w:val="24"/>
        </w:rPr>
        <w:t>人员中毒应急处理</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_Toc6100 </w:instrText>
      </w:r>
      <w:r>
        <w:rPr>
          <w:rFonts w:ascii="Times New Roman" w:hAnsi="Times New Roman" w:eastAsia="宋体"/>
          <w:sz w:val="24"/>
        </w:rPr>
        <w:fldChar w:fldCharType="separate"/>
      </w:r>
      <w:r>
        <w:rPr>
          <w:rFonts w:ascii="Times New Roman" w:hAnsi="Times New Roman" w:eastAsia="宋体"/>
          <w:sz w:val="24"/>
        </w:rPr>
        <w:t>77</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7.3.</w:t>
      </w:r>
      <w:r>
        <w:rPr>
          <w:rFonts w:hint="eastAsia" w:ascii="Times New Roman" w:hAnsi="Times New Roman" w:eastAsia="宋体" w:cs="Times New Roman"/>
          <w:color w:val="000000" w:themeColor="text1"/>
          <w:sz w:val="24"/>
          <w:szCs w:val="24"/>
          <w:lang w:val="en-US" w:eastAsia="zh-CN"/>
        </w:rPr>
        <w:t>7</w:t>
      </w:r>
      <w:r>
        <w:rPr>
          <w:rFonts w:ascii="Times New Roman" w:hAnsi="Times New Roman" w:eastAsia="宋体" w:cs="Times New Roman"/>
          <w:color w:val="000000" w:themeColor="text1"/>
          <w:sz w:val="24"/>
          <w:szCs w:val="24"/>
        </w:rPr>
        <w:t>混油应急处理</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_Toc13925 </w:instrText>
      </w:r>
      <w:r>
        <w:rPr>
          <w:rFonts w:ascii="Times New Roman" w:hAnsi="Times New Roman" w:eastAsia="宋体"/>
          <w:sz w:val="24"/>
        </w:rPr>
        <w:fldChar w:fldCharType="separate"/>
      </w:r>
      <w:r>
        <w:rPr>
          <w:rFonts w:ascii="Times New Roman" w:hAnsi="Times New Roman" w:eastAsia="宋体"/>
          <w:sz w:val="24"/>
        </w:rPr>
        <w:t>78</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7.3.</w:t>
      </w:r>
      <w:r>
        <w:rPr>
          <w:rFonts w:hint="eastAsia" w:ascii="Times New Roman" w:hAnsi="Times New Roman" w:eastAsia="宋体" w:cs="Times New Roman"/>
          <w:color w:val="000000" w:themeColor="text1"/>
          <w:sz w:val="24"/>
          <w:szCs w:val="24"/>
          <w:lang w:val="en-US" w:eastAsia="zh-CN"/>
        </w:rPr>
        <w:t>8</w:t>
      </w:r>
      <w:r>
        <w:rPr>
          <w:rFonts w:ascii="Times New Roman" w:hAnsi="Times New Roman" w:eastAsia="宋体" w:cs="Times New Roman"/>
          <w:color w:val="000000" w:themeColor="text1"/>
          <w:sz w:val="24"/>
          <w:szCs w:val="24"/>
          <w:lang w:val="zh-CN"/>
        </w:rPr>
        <w:t>危险废物污染防范措施</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_Toc19235 </w:instrText>
      </w:r>
      <w:r>
        <w:rPr>
          <w:rFonts w:ascii="Times New Roman" w:hAnsi="Times New Roman" w:eastAsia="宋体"/>
          <w:sz w:val="24"/>
        </w:rPr>
        <w:fldChar w:fldCharType="separate"/>
      </w:r>
      <w:r>
        <w:rPr>
          <w:rFonts w:ascii="Times New Roman" w:hAnsi="Times New Roman" w:eastAsia="宋体"/>
          <w:sz w:val="24"/>
        </w:rPr>
        <w:t>78</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7.4 应急监测</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_Toc16908 </w:instrText>
      </w:r>
      <w:r>
        <w:rPr>
          <w:rFonts w:ascii="Times New Roman" w:hAnsi="Times New Roman" w:eastAsia="宋体"/>
          <w:sz w:val="24"/>
        </w:rPr>
        <w:fldChar w:fldCharType="separate"/>
      </w:r>
      <w:r>
        <w:rPr>
          <w:rFonts w:ascii="Times New Roman" w:hAnsi="Times New Roman" w:eastAsia="宋体"/>
          <w:sz w:val="24"/>
        </w:rPr>
        <w:t>79</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7.5应急终止</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_Toc27287 </w:instrText>
      </w:r>
      <w:r>
        <w:rPr>
          <w:rFonts w:ascii="Times New Roman" w:hAnsi="Times New Roman" w:eastAsia="宋体"/>
          <w:sz w:val="24"/>
        </w:rPr>
        <w:fldChar w:fldCharType="separate"/>
      </w:r>
      <w:r>
        <w:rPr>
          <w:rFonts w:ascii="Times New Roman" w:hAnsi="Times New Roman" w:eastAsia="宋体"/>
          <w:sz w:val="24"/>
        </w:rPr>
        <w:t>83</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7.6应急终止后的行动</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_Toc787 </w:instrText>
      </w:r>
      <w:r>
        <w:rPr>
          <w:rFonts w:ascii="Times New Roman" w:hAnsi="Times New Roman" w:eastAsia="宋体"/>
          <w:sz w:val="24"/>
        </w:rPr>
        <w:fldChar w:fldCharType="separate"/>
      </w:r>
      <w:r>
        <w:rPr>
          <w:rFonts w:ascii="Times New Roman" w:hAnsi="Times New Roman" w:eastAsia="宋体"/>
          <w:sz w:val="24"/>
        </w:rPr>
        <w:t>83</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7.7应急安全</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_Toc5490 </w:instrText>
      </w:r>
      <w:r>
        <w:rPr>
          <w:rFonts w:ascii="Times New Roman" w:hAnsi="Times New Roman" w:eastAsia="宋体"/>
          <w:sz w:val="24"/>
        </w:rPr>
        <w:fldChar w:fldCharType="separate"/>
      </w:r>
      <w:r>
        <w:rPr>
          <w:rFonts w:ascii="Times New Roman" w:hAnsi="Times New Roman" w:eastAsia="宋体"/>
          <w:sz w:val="24"/>
        </w:rPr>
        <w:t>84</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7.7.1应急人员的安全防护</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_Toc21579 </w:instrText>
      </w:r>
      <w:r>
        <w:rPr>
          <w:rFonts w:ascii="Times New Roman" w:hAnsi="Times New Roman" w:eastAsia="宋体"/>
          <w:sz w:val="24"/>
        </w:rPr>
        <w:fldChar w:fldCharType="separate"/>
      </w:r>
      <w:r>
        <w:rPr>
          <w:rFonts w:ascii="Times New Roman" w:hAnsi="Times New Roman" w:eastAsia="宋体"/>
          <w:sz w:val="24"/>
        </w:rPr>
        <w:t>84</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7.7.2受灾群众的安全防护</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_Toc22929 </w:instrText>
      </w:r>
      <w:r>
        <w:rPr>
          <w:rFonts w:ascii="Times New Roman" w:hAnsi="Times New Roman" w:eastAsia="宋体"/>
          <w:sz w:val="24"/>
        </w:rPr>
        <w:fldChar w:fldCharType="separate"/>
      </w:r>
      <w:r>
        <w:rPr>
          <w:rFonts w:ascii="Times New Roman" w:hAnsi="Times New Roman" w:eastAsia="宋体"/>
          <w:sz w:val="24"/>
        </w:rPr>
        <w:t>84</w:t>
      </w:r>
      <w:r>
        <w:rPr>
          <w:rFonts w:ascii="Times New Roman" w:hAnsi="Times New Roman" w:eastAsia="宋体"/>
          <w:sz w:val="24"/>
        </w:rPr>
        <w:fldChar w:fldCharType="end"/>
      </w:r>
    </w:p>
    <w:p>
      <w:pPr>
        <w:pStyle w:val="11"/>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30"/>
        </w:rPr>
        <w:t>8、保障措施</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_Toc22846 </w:instrText>
      </w:r>
      <w:r>
        <w:rPr>
          <w:rFonts w:ascii="Times New Roman" w:hAnsi="Times New Roman" w:eastAsia="宋体"/>
          <w:sz w:val="24"/>
        </w:rPr>
        <w:fldChar w:fldCharType="separate"/>
      </w:r>
      <w:r>
        <w:rPr>
          <w:rFonts w:ascii="Times New Roman" w:hAnsi="Times New Roman" w:eastAsia="宋体"/>
          <w:sz w:val="24"/>
        </w:rPr>
        <w:t>85</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8.1通信与信息保障</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_Toc27883 </w:instrText>
      </w:r>
      <w:r>
        <w:rPr>
          <w:rFonts w:ascii="Times New Roman" w:hAnsi="Times New Roman" w:eastAsia="宋体"/>
          <w:sz w:val="24"/>
        </w:rPr>
        <w:fldChar w:fldCharType="separate"/>
      </w:r>
      <w:r>
        <w:rPr>
          <w:rFonts w:ascii="Times New Roman" w:hAnsi="Times New Roman" w:eastAsia="宋体"/>
          <w:sz w:val="24"/>
        </w:rPr>
        <w:t>85</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8.2应急队伍保障</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_Toc30262 </w:instrText>
      </w:r>
      <w:r>
        <w:rPr>
          <w:rFonts w:ascii="Times New Roman" w:hAnsi="Times New Roman" w:eastAsia="宋体"/>
          <w:sz w:val="24"/>
        </w:rPr>
        <w:fldChar w:fldCharType="separate"/>
      </w:r>
      <w:r>
        <w:rPr>
          <w:rFonts w:ascii="Times New Roman" w:hAnsi="Times New Roman" w:eastAsia="宋体"/>
          <w:sz w:val="24"/>
        </w:rPr>
        <w:t>85</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8.3应急物资装备保障</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_Toc22540 </w:instrText>
      </w:r>
      <w:r>
        <w:rPr>
          <w:rFonts w:ascii="Times New Roman" w:hAnsi="Times New Roman" w:eastAsia="宋体"/>
          <w:sz w:val="24"/>
        </w:rPr>
        <w:fldChar w:fldCharType="separate"/>
      </w:r>
      <w:r>
        <w:rPr>
          <w:rFonts w:ascii="Times New Roman" w:hAnsi="Times New Roman" w:eastAsia="宋体"/>
          <w:sz w:val="24"/>
        </w:rPr>
        <w:t>85</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8.4经费保障</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_Toc6485 </w:instrText>
      </w:r>
      <w:r>
        <w:rPr>
          <w:rFonts w:ascii="Times New Roman" w:hAnsi="Times New Roman" w:eastAsia="宋体"/>
          <w:sz w:val="24"/>
        </w:rPr>
        <w:fldChar w:fldCharType="separate"/>
      </w:r>
      <w:r>
        <w:rPr>
          <w:rFonts w:ascii="Times New Roman" w:hAnsi="Times New Roman" w:eastAsia="宋体"/>
          <w:sz w:val="24"/>
        </w:rPr>
        <w:t>85</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8.5应急技术保障</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_Toc16715 </w:instrText>
      </w:r>
      <w:r>
        <w:rPr>
          <w:rFonts w:ascii="Times New Roman" w:hAnsi="Times New Roman" w:eastAsia="宋体"/>
          <w:sz w:val="24"/>
        </w:rPr>
        <w:fldChar w:fldCharType="separate"/>
      </w:r>
      <w:r>
        <w:rPr>
          <w:rFonts w:ascii="Times New Roman" w:hAnsi="Times New Roman" w:eastAsia="宋体"/>
          <w:sz w:val="24"/>
        </w:rPr>
        <w:t>86</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8.6应急救援保障</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_Toc25959 </w:instrText>
      </w:r>
      <w:r>
        <w:rPr>
          <w:rFonts w:ascii="Times New Roman" w:hAnsi="Times New Roman" w:eastAsia="宋体"/>
          <w:sz w:val="24"/>
        </w:rPr>
        <w:fldChar w:fldCharType="separate"/>
      </w:r>
      <w:r>
        <w:rPr>
          <w:rFonts w:ascii="Times New Roman" w:hAnsi="Times New Roman" w:eastAsia="宋体"/>
          <w:sz w:val="24"/>
        </w:rPr>
        <w:t>86</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8.7次生灾害安全防护</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_Toc18125 </w:instrText>
      </w:r>
      <w:r>
        <w:rPr>
          <w:rFonts w:ascii="Times New Roman" w:hAnsi="Times New Roman" w:eastAsia="宋体"/>
          <w:sz w:val="24"/>
        </w:rPr>
        <w:fldChar w:fldCharType="separate"/>
      </w:r>
      <w:r>
        <w:rPr>
          <w:rFonts w:ascii="Times New Roman" w:hAnsi="Times New Roman" w:eastAsia="宋体"/>
          <w:sz w:val="24"/>
        </w:rPr>
        <w:t>87</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8.7.1次生灾害类别</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_Toc5212 </w:instrText>
      </w:r>
      <w:r>
        <w:rPr>
          <w:rFonts w:ascii="Times New Roman" w:hAnsi="Times New Roman" w:eastAsia="宋体"/>
          <w:sz w:val="24"/>
        </w:rPr>
        <w:fldChar w:fldCharType="separate"/>
      </w:r>
      <w:r>
        <w:rPr>
          <w:rFonts w:ascii="Times New Roman" w:hAnsi="Times New Roman" w:eastAsia="宋体"/>
          <w:sz w:val="24"/>
        </w:rPr>
        <w:t>87</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8.7.2安全防护措施</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_Toc1434 </w:instrText>
      </w:r>
      <w:r>
        <w:rPr>
          <w:rFonts w:ascii="Times New Roman" w:hAnsi="Times New Roman" w:eastAsia="宋体"/>
          <w:sz w:val="24"/>
        </w:rPr>
        <w:fldChar w:fldCharType="separate"/>
      </w:r>
      <w:r>
        <w:rPr>
          <w:rFonts w:ascii="Times New Roman" w:hAnsi="Times New Roman" w:eastAsia="宋体"/>
          <w:sz w:val="24"/>
        </w:rPr>
        <w:t>87</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8.8后期处置</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_Toc22160 </w:instrText>
      </w:r>
      <w:r>
        <w:rPr>
          <w:rFonts w:ascii="Times New Roman" w:hAnsi="Times New Roman" w:eastAsia="宋体"/>
          <w:sz w:val="24"/>
        </w:rPr>
        <w:fldChar w:fldCharType="separate"/>
      </w:r>
      <w:r>
        <w:rPr>
          <w:rFonts w:ascii="Times New Roman" w:hAnsi="Times New Roman" w:eastAsia="宋体"/>
          <w:sz w:val="24"/>
        </w:rPr>
        <w:t>88</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8.8.1善后处置</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_Toc7751 </w:instrText>
      </w:r>
      <w:r>
        <w:rPr>
          <w:rFonts w:ascii="Times New Roman" w:hAnsi="Times New Roman" w:eastAsia="宋体"/>
          <w:sz w:val="24"/>
        </w:rPr>
        <w:fldChar w:fldCharType="separate"/>
      </w:r>
      <w:r>
        <w:rPr>
          <w:rFonts w:ascii="Times New Roman" w:hAnsi="Times New Roman" w:eastAsia="宋体"/>
          <w:sz w:val="24"/>
        </w:rPr>
        <w:t>88</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8.8.2保险</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_Toc23880 </w:instrText>
      </w:r>
      <w:r>
        <w:rPr>
          <w:rFonts w:ascii="Times New Roman" w:hAnsi="Times New Roman" w:eastAsia="宋体"/>
          <w:sz w:val="24"/>
        </w:rPr>
        <w:fldChar w:fldCharType="separate"/>
      </w:r>
      <w:r>
        <w:rPr>
          <w:rFonts w:ascii="Times New Roman" w:hAnsi="Times New Roman" w:eastAsia="宋体"/>
          <w:sz w:val="24"/>
        </w:rPr>
        <w:t>88</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8.8.3工作总结与评价</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_Toc19459 </w:instrText>
      </w:r>
      <w:r>
        <w:rPr>
          <w:rFonts w:ascii="Times New Roman" w:hAnsi="Times New Roman" w:eastAsia="宋体"/>
          <w:sz w:val="24"/>
        </w:rPr>
        <w:fldChar w:fldCharType="separate"/>
      </w:r>
      <w:r>
        <w:rPr>
          <w:rFonts w:ascii="Times New Roman" w:hAnsi="Times New Roman" w:eastAsia="宋体"/>
          <w:sz w:val="24"/>
        </w:rPr>
        <w:t>88</w:t>
      </w:r>
      <w:r>
        <w:rPr>
          <w:rFonts w:ascii="Times New Roman" w:hAnsi="Times New Roman" w:eastAsia="宋体"/>
          <w:sz w:val="24"/>
        </w:rPr>
        <w:fldChar w:fldCharType="end"/>
      </w:r>
    </w:p>
    <w:p>
      <w:pPr>
        <w:pStyle w:val="11"/>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30"/>
        </w:rPr>
        <w:t>9、培训与演练</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_Toc29191 </w:instrText>
      </w:r>
      <w:r>
        <w:rPr>
          <w:rFonts w:ascii="Times New Roman" w:hAnsi="Times New Roman" w:eastAsia="宋体"/>
          <w:sz w:val="24"/>
        </w:rPr>
        <w:fldChar w:fldCharType="separate"/>
      </w:r>
      <w:r>
        <w:rPr>
          <w:rFonts w:ascii="Times New Roman" w:hAnsi="Times New Roman" w:eastAsia="宋体"/>
          <w:sz w:val="24"/>
        </w:rPr>
        <w:t>90</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9.1培训</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_Toc2319 </w:instrText>
      </w:r>
      <w:r>
        <w:rPr>
          <w:rFonts w:ascii="Times New Roman" w:hAnsi="Times New Roman" w:eastAsia="宋体"/>
          <w:sz w:val="24"/>
        </w:rPr>
        <w:fldChar w:fldCharType="separate"/>
      </w:r>
      <w:r>
        <w:rPr>
          <w:rFonts w:ascii="Times New Roman" w:hAnsi="Times New Roman" w:eastAsia="宋体"/>
          <w:sz w:val="24"/>
        </w:rPr>
        <w:t>90</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9.2演练</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_Toc18861 </w:instrText>
      </w:r>
      <w:r>
        <w:rPr>
          <w:rFonts w:ascii="Times New Roman" w:hAnsi="Times New Roman" w:eastAsia="宋体"/>
          <w:sz w:val="24"/>
        </w:rPr>
        <w:fldChar w:fldCharType="separate"/>
      </w:r>
      <w:r>
        <w:rPr>
          <w:rFonts w:ascii="Times New Roman" w:hAnsi="Times New Roman" w:eastAsia="宋体"/>
          <w:sz w:val="24"/>
        </w:rPr>
        <w:t>91</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9.3记录与考核</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_Toc21475 </w:instrText>
      </w:r>
      <w:r>
        <w:rPr>
          <w:rFonts w:ascii="Times New Roman" w:hAnsi="Times New Roman" w:eastAsia="宋体"/>
          <w:sz w:val="24"/>
        </w:rPr>
        <w:fldChar w:fldCharType="separate"/>
      </w:r>
      <w:r>
        <w:rPr>
          <w:rFonts w:ascii="Times New Roman" w:hAnsi="Times New Roman" w:eastAsia="宋体"/>
          <w:sz w:val="24"/>
        </w:rPr>
        <w:t>91</w:t>
      </w:r>
      <w:r>
        <w:rPr>
          <w:rFonts w:ascii="Times New Roman" w:hAnsi="Times New Roman" w:eastAsia="宋体"/>
          <w:sz w:val="24"/>
        </w:rPr>
        <w:fldChar w:fldCharType="end"/>
      </w:r>
    </w:p>
    <w:p>
      <w:pPr>
        <w:pStyle w:val="11"/>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30"/>
        </w:rPr>
        <w:t>10、奖惩</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_Toc31106 </w:instrText>
      </w:r>
      <w:r>
        <w:rPr>
          <w:rFonts w:ascii="Times New Roman" w:hAnsi="Times New Roman" w:eastAsia="宋体"/>
          <w:sz w:val="24"/>
        </w:rPr>
        <w:fldChar w:fldCharType="separate"/>
      </w:r>
      <w:r>
        <w:rPr>
          <w:rFonts w:ascii="Times New Roman" w:hAnsi="Times New Roman" w:eastAsia="宋体"/>
          <w:sz w:val="24"/>
        </w:rPr>
        <w:t>92</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10.1事故应急救援工作实行奖励制</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_Toc656 </w:instrText>
      </w:r>
      <w:r>
        <w:rPr>
          <w:rFonts w:ascii="Times New Roman" w:hAnsi="Times New Roman" w:eastAsia="宋体"/>
          <w:sz w:val="24"/>
        </w:rPr>
        <w:fldChar w:fldCharType="separate"/>
      </w:r>
      <w:r>
        <w:rPr>
          <w:rFonts w:ascii="Times New Roman" w:hAnsi="Times New Roman" w:eastAsia="宋体"/>
          <w:sz w:val="24"/>
        </w:rPr>
        <w:t>92</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10.2事故应急救援工作实行责任追究制</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_Toc26006 </w:instrText>
      </w:r>
      <w:r>
        <w:rPr>
          <w:rFonts w:ascii="Times New Roman" w:hAnsi="Times New Roman" w:eastAsia="宋体"/>
          <w:sz w:val="24"/>
        </w:rPr>
        <w:fldChar w:fldCharType="separate"/>
      </w:r>
      <w:r>
        <w:rPr>
          <w:rFonts w:ascii="Times New Roman" w:hAnsi="Times New Roman" w:eastAsia="宋体"/>
          <w:sz w:val="24"/>
        </w:rPr>
        <w:t>92</w:t>
      </w:r>
      <w:r>
        <w:rPr>
          <w:rFonts w:ascii="Times New Roman" w:hAnsi="Times New Roman" w:eastAsia="宋体"/>
          <w:sz w:val="24"/>
        </w:rPr>
        <w:fldChar w:fldCharType="end"/>
      </w:r>
    </w:p>
    <w:p>
      <w:pPr>
        <w:pStyle w:val="11"/>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30"/>
        </w:rPr>
        <w:t>11、预案的评审、备案、发布和更新</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_Toc15904 </w:instrText>
      </w:r>
      <w:r>
        <w:rPr>
          <w:rFonts w:ascii="Times New Roman" w:hAnsi="Times New Roman" w:eastAsia="宋体"/>
          <w:sz w:val="24"/>
        </w:rPr>
        <w:fldChar w:fldCharType="separate"/>
      </w:r>
      <w:r>
        <w:rPr>
          <w:rFonts w:ascii="Times New Roman" w:hAnsi="Times New Roman" w:eastAsia="宋体"/>
          <w:sz w:val="24"/>
        </w:rPr>
        <w:t>93</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11.1预案评审</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_Toc31519 </w:instrText>
      </w:r>
      <w:r>
        <w:rPr>
          <w:rFonts w:ascii="Times New Roman" w:hAnsi="Times New Roman" w:eastAsia="宋体"/>
          <w:sz w:val="24"/>
        </w:rPr>
        <w:fldChar w:fldCharType="separate"/>
      </w:r>
      <w:r>
        <w:rPr>
          <w:rFonts w:ascii="Times New Roman" w:hAnsi="Times New Roman" w:eastAsia="宋体"/>
          <w:sz w:val="24"/>
        </w:rPr>
        <w:t>93</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11.2预案备案</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_Toc19968 </w:instrText>
      </w:r>
      <w:r>
        <w:rPr>
          <w:rFonts w:ascii="Times New Roman" w:hAnsi="Times New Roman" w:eastAsia="宋体"/>
          <w:sz w:val="24"/>
        </w:rPr>
        <w:fldChar w:fldCharType="separate"/>
      </w:r>
      <w:r>
        <w:rPr>
          <w:rFonts w:ascii="Times New Roman" w:hAnsi="Times New Roman" w:eastAsia="宋体"/>
          <w:sz w:val="24"/>
        </w:rPr>
        <w:t>93</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11.3预案发布与发放</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_Toc24244 </w:instrText>
      </w:r>
      <w:r>
        <w:rPr>
          <w:rFonts w:ascii="Times New Roman" w:hAnsi="Times New Roman" w:eastAsia="宋体"/>
          <w:sz w:val="24"/>
        </w:rPr>
        <w:fldChar w:fldCharType="separate"/>
      </w:r>
      <w:r>
        <w:rPr>
          <w:rFonts w:ascii="Times New Roman" w:hAnsi="Times New Roman" w:eastAsia="宋体"/>
          <w:sz w:val="24"/>
        </w:rPr>
        <w:t>93</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11.4应急预案的修订</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_Toc23484 </w:instrText>
      </w:r>
      <w:r>
        <w:rPr>
          <w:rFonts w:ascii="Times New Roman" w:hAnsi="Times New Roman" w:eastAsia="宋体"/>
          <w:sz w:val="24"/>
        </w:rPr>
        <w:fldChar w:fldCharType="separate"/>
      </w:r>
      <w:r>
        <w:rPr>
          <w:rFonts w:ascii="Times New Roman" w:hAnsi="Times New Roman" w:eastAsia="宋体"/>
          <w:sz w:val="24"/>
        </w:rPr>
        <w:t>93</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11.4.1应急预案在下列情况下，应对应急预案及时修订</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_Toc13735 </w:instrText>
      </w:r>
      <w:r>
        <w:rPr>
          <w:rFonts w:ascii="Times New Roman" w:hAnsi="Times New Roman" w:eastAsia="宋体"/>
          <w:sz w:val="24"/>
        </w:rPr>
        <w:fldChar w:fldCharType="separate"/>
      </w:r>
      <w:r>
        <w:rPr>
          <w:rFonts w:ascii="Times New Roman" w:hAnsi="Times New Roman" w:eastAsia="宋体"/>
          <w:sz w:val="24"/>
        </w:rPr>
        <w:t>93</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11.4.2应急预案更改、修订程序</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_Toc22931 </w:instrText>
      </w:r>
      <w:r>
        <w:rPr>
          <w:rFonts w:ascii="Times New Roman" w:hAnsi="Times New Roman" w:eastAsia="宋体"/>
          <w:sz w:val="24"/>
        </w:rPr>
        <w:fldChar w:fldCharType="separate"/>
      </w:r>
      <w:r>
        <w:rPr>
          <w:rFonts w:ascii="Times New Roman" w:hAnsi="Times New Roman" w:eastAsia="宋体"/>
          <w:sz w:val="24"/>
        </w:rPr>
        <w:t>94</w:t>
      </w:r>
      <w:r>
        <w:rPr>
          <w:rFonts w:ascii="Times New Roman" w:hAnsi="Times New Roman" w:eastAsia="宋体"/>
          <w:sz w:val="24"/>
        </w:rPr>
        <w:fldChar w:fldCharType="end"/>
      </w:r>
    </w:p>
    <w:p>
      <w:pPr>
        <w:pStyle w:val="8"/>
        <w:tabs>
          <w:tab w:val="right" w:leader="dot" w:pos="9760"/>
        </w:tabs>
        <w:rPr>
          <w:rFonts w:ascii="Times New Roman" w:hAnsi="Times New Roman" w:eastAsia="宋体"/>
          <w:sz w:val="24"/>
        </w:rPr>
      </w:pPr>
      <w:r>
        <w:rPr>
          <w:rFonts w:ascii="Times New Roman" w:hAnsi="Times New Roman" w:eastAsia="宋体" w:cs="Times New Roman"/>
          <w:color w:val="000000" w:themeColor="text1"/>
          <w:sz w:val="24"/>
          <w:szCs w:val="24"/>
        </w:rPr>
        <w:t>11.5 预案签署和解释</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_Toc10940 </w:instrText>
      </w:r>
      <w:r>
        <w:rPr>
          <w:rFonts w:ascii="Times New Roman" w:hAnsi="Times New Roman" w:eastAsia="宋体"/>
          <w:sz w:val="24"/>
        </w:rPr>
        <w:fldChar w:fldCharType="separate"/>
      </w:r>
      <w:r>
        <w:rPr>
          <w:rFonts w:ascii="Times New Roman" w:hAnsi="Times New Roman" w:eastAsia="宋体"/>
          <w:sz w:val="24"/>
        </w:rPr>
        <w:t>94</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11.6预案的实施</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_Toc19114 </w:instrText>
      </w:r>
      <w:r>
        <w:rPr>
          <w:rFonts w:ascii="Times New Roman" w:hAnsi="Times New Roman" w:eastAsia="宋体"/>
          <w:sz w:val="24"/>
        </w:rPr>
        <w:fldChar w:fldCharType="separate"/>
      </w:r>
      <w:r>
        <w:rPr>
          <w:rFonts w:ascii="Times New Roman" w:hAnsi="Times New Roman" w:eastAsia="宋体"/>
          <w:sz w:val="24"/>
        </w:rPr>
        <w:t>94</w:t>
      </w:r>
      <w:r>
        <w:rPr>
          <w:rFonts w:ascii="Times New Roman" w:hAnsi="Times New Roman" w:eastAsia="宋体"/>
          <w:sz w:val="24"/>
        </w:rPr>
        <w:fldChar w:fldCharType="end"/>
      </w:r>
    </w:p>
    <w:p>
      <w:pPr>
        <w:pStyle w:val="11"/>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30"/>
        </w:rPr>
        <w:t>12、附 则-名词术语、定义</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_Toc4627 </w:instrText>
      </w:r>
      <w:r>
        <w:rPr>
          <w:rFonts w:ascii="Times New Roman" w:hAnsi="Times New Roman" w:eastAsia="宋体"/>
          <w:sz w:val="24"/>
        </w:rPr>
        <w:fldChar w:fldCharType="separate"/>
      </w:r>
      <w:r>
        <w:rPr>
          <w:rFonts w:ascii="Times New Roman" w:hAnsi="Times New Roman" w:eastAsia="宋体"/>
          <w:sz w:val="24"/>
        </w:rPr>
        <w:t>95</w:t>
      </w:r>
      <w:r>
        <w:rPr>
          <w:rFonts w:ascii="Times New Roman" w:hAnsi="Times New Roman" w:eastAsia="宋体"/>
          <w:sz w:val="24"/>
        </w:rPr>
        <w:fldChar w:fldCharType="end"/>
      </w:r>
    </w:p>
    <w:p>
      <w:pPr>
        <w:pStyle w:val="11"/>
        <w:tabs>
          <w:tab w:val="right" w:leader="dot" w:pos="9760"/>
        </w:tabs>
        <w:rPr>
          <w:rFonts w:ascii="Times New Roman" w:hAnsi="Times New Roman" w:eastAsia="宋体"/>
          <w:sz w:val="24"/>
        </w:rPr>
      </w:pPr>
      <w:r>
        <w:rPr>
          <w:rFonts w:ascii="Times New Roman" w:hAnsi="Times New Roman" w:eastAsia="宋体" w:cs="Times New Roman"/>
          <w:bCs/>
          <w:color w:val="000000" w:themeColor="text1"/>
          <w:kern w:val="44"/>
          <w:sz w:val="24"/>
          <w:szCs w:val="30"/>
        </w:rPr>
        <w:t>附件</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_Toc25070 </w:instrText>
      </w:r>
      <w:r>
        <w:rPr>
          <w:rFonts w:ascii="Times New Roman" w:hAnsi="Times New Roman" w:eastAsia="宋体"/>
          <w:sz w:val="24"/>
        </w:rPr>
        <w:fldChar w:fldCharType="separate"/>
      </w:r>
      <w:r>
        <w:rPr>
          <w:rFonts w:ascii="Times New Roman" w:hAnsi="Times New Roman" w:eastAsia="宋体"/>
          <w:sz w:val="24"/>
        </w:rPr>
        <w:t>II</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附件一：中国</w:t>
      </w:r>
      <w:r>
        <w:rPr>
          <w:rFonts w:hint="eastAsia" w:ascii="Times New Roman" w:hAnsi="Times New Roman" w:eastAsia="宋体" w:cs="Times New Roman"/>
          <w:bCs/>
          <w:color w:val="000000" w:themeColor="text1"/>
          <w:sz w:val="24"/>
          <w:szCs w:val="24"/>
          <w:lang w:val="en-US" w:eastAsia="zh-CN"/>
        </w:rPr>
        <w:t>石油天然气</w:t>
      </w:r>
      <w:r>
        <w:rPr>
          <w:rFonts w:ascii="Times New Roman" w:hAnsi="Times New Roman" w:eastAsia="宋体" w:cs="Times New Roman"/>
          <w:bCs/>
          <w:color w:val="000000" w:themeColor="text1"/>
          <w:sz w:val="24"/>
          <w:szCs w:val="24"/>
        </w:rPr>
        <w:t>股份有限公司江西南昌</w:t>
      </w:r>
      <w:r>
        <w:rPr>
          <w:rFonts w:hint="eastAsia" w:ascii="Times New Roman" w:hAnsi="Times New Roman" w:eastAsia="宋体" w:cs="Times New Roman"/>
          <w:bCs/>
          <w:color w:val="000000" w:themeColor="text1"/>
          <w:sz w:val="24"/>
          <w:szCs w:val="24"/>
          <w:lang w:val="en-US" w:eastAsia="zh-CN"/>
        </w:rPr>
        <w:t>双港大道</w:t>
      </w:r>
      <w:r>
        <w:rPr>
          <w:rFonts w:ascii="Times New Roman" w:hAnsi="Times New Roman" w:eastAsia="宋体" w:cs="Times New Roman"/>
          <w:bCs/>
          <w:color w:val="000000" w:themeColor="text1"/>
          <w:sz w:val="24"/>
          <w:szCs w:val="24"/>
        </w:rPr>
        <w:t>加油站地理位置图</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_Toc27914 </w:instrText>
      </w:r>
      <w:r>
        <w:rPr>
          <w:rFonts w:ascii="Times New Roman" w:hAnsi="Times New Roman" w:eastAsia="宋体"/>
          <w:sz w:val="24"/>
        </w:rPr>
        <w:fldChar w:fldCharType="separate"/>
      </w:r>
      <w:r>
        <w:rPr>
          <w:rFonts w:ascii="Times New Roman" w:hAnsi="Times New Roman" w:eastAsia="宋体"/>
          <w:sz w:val="24"/>
        </w:rPr>
        <w:t>II</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sz w:val="24"/>
          <w:szCs w:val="24"/>
        </w:rPr>
        <w:t>附件二：加油站平面布置图</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_Toc21728 </w:instrText>
      </w:r>
      <w:r>
        <w:rPr>
          <w:rFonts w:ascii="Times New Roman" w:hAnsi="Times New Roman" w:eastAsia="宋体"/>
          <w:sz w:val="24"/>
        </w:rPr>
        <w:fldChar w:fldCharType="separate"/>
      </w:r>
      <w:r>
        <w:rPr>
          <w:rFonts w:ascii="Times New Roman" w:hAnsi="Times New Roman" w:eastAsia="宋体"/>
          <w:sz w:val="24"/>
        </w:rPr>
        <w:t>III</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附件三：加油站周边环境“环境敏感点”示意图</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_Toc22095 </w:instrText>
      </w:r>
      <w:r>
        <w:rPr>
          <w:rFonts w:ascii="Times New Roman" w:hAnsi="Times New Roman" w:eastAsia="宋体"/>
          <w:sz w:val="24"/>
        </w:rPr>
        <w:fldChar w:fldCharType="separate"/>
      </w:r>
      <w:r>
        <w:rPr>
          <w:rFonts w:ascii="Times New Roman" w:hAnsi="Times New Roman" w:eastAsia="宋体"/>
          <w:sz w:val="24"/>
        </w:rPr>
        <w:t>IV</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sz w:val="24"/>
          <w:szCs w:val="24"/>
          <w:lang w:val="zh-CN"/>
        </w:rPr>
        <w:t>附件四、加油站应急疏散线路图</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_Toc27102 </w:instrText>
      </w:r>
      <w:r>
        <w:rPr>
          <w:rFonts w:ascii="Times New Roman" w:hAnsi="Times New Roman" w:eastAsia="宋体"/>
          <w:sz w:val="24"/>
        </w:rPr>
        <w:fldChar w:fldCharType="separate"/>
      </w:r>
      <w:r>
        <w:rPr>
          <w:rFonts w:ascii="Times New Roman" w:hAnsi="Times New Roman" w:eastAsia="宋体"/>
          <w:sz w:val="24"/>
        </w:rPr>
        <w:t>V</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附件五: 突发环境事件应急领导小组成员及联系方式</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_Toc24458 </w:instrText>
      </w:r>
      <w:r>
        <w:rPr>
          <w:rFonts w:ascii="Times New Roman" w:hAnsi="Times New Roman" w:eastAsia="宋体"/>
          <w:sz w:val="24"/>
        </w:rPr>
        <w:fldChar w:fldCharType="separate"/>
      </w:r>
      <w:r>
        <w:rPr>
          <w:rFonts w:ascii="Times New Roman" w:hAnsi="Times New Roman" w:eastAsia="宋体"/>
          <w:sz w:val="24"/>
        </w:rPr>
        <w:t>VI</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附件六: 加油站配备消防器材及应急装备物资</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_Toc17837 </w:instrText>
      </w:r>
      <w:r>
        <w:rPr>
          <w:rFonts w:ascii="Times New Roman" w:hAnsi="Times New Roman" w:eastAsia="宋体"/>
          <w:sz w:val="24"/>
        </w:rPr>
        <w:fldChar w:fldCharType="separate"/>
      </w:r>
      <w:r>
        <w:rPr>
          <w:rFonts w:ascii="Times New Roman" w:hAnsi="Times New Roman" w:eastAsia="宋体"/>
          <w:sz w:val="24"/>
        </w:rPr>
        <w:t>VII</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附件七：</w:t>
      </w:r>
      <w:r>
        <w:rPr>
          <w:rFonts w:hint="eastAsia" w:ascii="Times New Roman" w:hAnsi="Times New Roman" w:eastAsia="宋体" w:cs="Times New Roman"/>
          <w:bCs/>
          <w:color w:val="000000" w:themeColor="text1"/>
          <w:sz w:val="24"/>
          <w:szCs w:val="24"/>
        </w:rPr>
        <w:t>固体废物处置合</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_Toc30015 </w:instrText>
      </w:r>
      <w:r>
        <w:rPr>
          <w:rFonts w:ascii="Times New Roman" w:hAnsi="Times New Roman" w:eastAsia="宋体"/>
          <w:sz w:val="24"/>
        </w:rPr>
        <w:fldChar w:fldCharType="separate"/>
      </w:r>
      <w:r>
        <w:rPr>
          <w:rFonts w:ascii="Times New Roman" w:hAnsi="Times New Roman" w:eastAsia="宋体"/>
          <w:sz w:val="24"/>
        </w:rPr>
        <w:t>IX</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附件八：《中国</w:t>
      </w:r>
      <w:r>
        <w:rPr>
          <w:rFonts w:hint="eastAsia" w:ascii="Times New Roman" w:hAnsi="Times New Roman" w:eastAsia="宋体" w:cs="Times New Roman"/>
          <w:bCs/>
          <w:color w:val="000000" w:themeColor="text1"/>
          <w:sz w:val="24"/>
          <w:szCs w:val="24"/>
          <w:lang w:val="en-US" w:eastAsia="zh-CN"/>
        </w:rPr>
        <w:t>石油天然气</w:t>
      </w:r>
      <w:r>
        <w:rPr>
          <w:rFonts w:ascii="Times New Roman" w:hAnsi="Times New Roman" w:eastAsia="宋体" w:cs="Times New Roman"/>
          <w:bCs/>
          <w:color w:val="000000" w:themeColor="text1"/>
          <w:sz w:val="24"/>
          <w:szCs w:val="24"/>
        </w:rPr>
        <w:t>股份有限公司江西南昌</w:t>
      </w:r>
      <w:r>
        <w:rPr>
          <w:rFonts w:hint="eastAsia" w:ascii="Times New Roman" w:hAnsi="Times New Roman" w:eastAsia="宋体" w:cs="Times New Roman"/>
          <w:bCs/>
          <w:color w:val="000000" w:themeColor="text1"/>
          <w:sz w:val="24"/>
          <w:szCs w:val="24"/>
          <w:lang w:val="en-US" w:eastAsia="zh-CN"/>
        </w:rPr>
        <w:t>双港大道</w:t>
      </w:r>
      <w:r>
        <w:rPr>
          <w:rFonts w:ascii="Times New Roman" w:hAnsi="Times New Roman" w:eastAsia="宋体" w:cs="Times New Roman"/>
          <w:bCs/>
          <w:color w:val="000000" w:themeColor="text1"/>
          <w:sz w:val="24"/>
          <w:szCs w:val="24"/>
        </w:rPr>
        <w:t>加油站关于成立突发环境预案资料编制领导小组的通知》</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_Toc23114 </w:instrText>
      </w:r>
      <w:r>
        <w:rPr>
          <w:rFonts w:ascii="Times New Roman" w:hAnsi="Times New Roman" w:eastAsia="宋体"/>
          <w:sz w:val="24"/>
        </w:rPr>
        <w:fldChar w:fldCharType="separate"/>
      </w:r>
      <w:r>
        <w:rPr>
          <w:rFonts w:ascii="Times New Roman" w:hAnsi="Times New Roman" w:eastAsia="宋体"/>
          <w:sz w:val="24"/>
        </w:rPr>
        <w:t>XXIX</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附件九：环保应急处置卡</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_Toc17112 </w:instrText>
      </w:r>
      <w:r>
        <w:rPr>
          <w:rFonts w:ascii="Times New Roman" w:hAnsi="Times New Roman" w:eastAsia="宋体"/>
          <w:sz w:val="24"/>
        </w:rPr>
        <w:fldChar w:fldCharType="separate"/>
      </w:r>
      <w:r>
        <w:rPr>
          <w:rFonts w:ascii="Times New Roman" w:hAnsi="Times New Roman" w:eastAsia="宋体"/>
          <w:sz w:val="24"/>
        </w:rPr>
        <w:t>XXX</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附件十：突发环境事件报告表</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_Toc10573 </w:instrText>
      </w:r>
      <w:r>
        <w:rPr>
          <w:rFonts w:ascii="Times New Roman" w:hAnsi="Times New Roman" w:eastAsia="宋体"/>
          <w:sz w:val="24"/>
        </w:rPr>
        <w:fldChar w:fldCharType="separate"/>
      </w:r>
      <w:r>
        <w:rPr>
          <w:rFonts w:ascii="Times New Roman" w:hAnsi="Times New Roman" w:eastAsia="宋体"/>
          <w:sz w:val="24"/>
        </w:rPr>
        <w:t>XXXI</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sz w:val="24"/>
          <w:szCs w:val="24"/>
        </w:rPr>
        <w:t>附件十一：营业执照</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_Toc8192 </w:instrText>
      </w:r>
      <w:r>
        <w:rPr>
          <w:rFonts w:ascii="Times New Roman" w:hAnsi="Times New Roman" w:eastAsia="宋体"/>
          <w:sz w:val="24"/>
        </w:rPr>
        <w:fldChar w:fldCharType="separate"/>
      </w:r>
      <w:r>
        <w:rPr>
          <w:rFonts w:ascii="Times New Roman" w:hAnsi="Times New Roman" w:eastAsia="宋体"/>
          <w:sz w:val="24"/>
        </w:rPr>
        <w:t>XXXIV</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sz w:val="24"/>
          <w:szCs w:val="24"/>
        </w:rPr>
        <w:t>附件十二：危险化学品经营许可证</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_Toc24166 </w:instrText>
      </w:r>
      <w:r>
        <w:rPr>
          <w:rFonts w:ascii="Times New Roman" w:hAnsi="Times New Roman" w:eastAsia="宋体"/>
          <w:sz w:val="24"/>
        </w:rPr>
        <w:fldChar w:fldCharType="separate"/>
      </w:r>
      <w:r>
        <w:rPr>
          <w:rFonts w:ascii="Times New Roman" w:hAnsi="Times New Roman" w:eastAsia="宋体"/>
          <w:sz w:val="24"/>
        </w:rPr>
        <w:t>XXXV</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sz w:val="24"/>
          <w:szCs w:val="24"/>
        </w:rPr>
        <w:t>附件十三：成品油零售经营批准证书</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_Toc6566 </w:instrText>
      </w:r>
      <w:r>
        <w:rPr>
          <w:rFonts w:ascii="Times New Roman" w:hAnsi="Times New Roman" w:eastAsia="宋体"/>
          <w:sz w:val="24"/>
        </w:rPr>
        <w:fldChar w:fldCharType="separate"/>
      </w:r>
      <w:r>
        <w:rPr>
          <w:rFonts w:ascii="Times New Roman" w:hAnsi="Times New Roman" w:eastAsia="宋体"/>
          <w:sz w:val="24"/>
        </w:rPr>
        <w:t>XXXVI</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附件十</w:t>
      </w:r>
      <w:r>
        <w:rPr>
          <w:rFonts w:hint="eastAsia" w:ascii="Times New Roman" w:hAnsi="Times New Roman" w:eastAsia="宋体" w:cs="Times New Roman"/>
          <w:bCs/>
          <w:color w:val="000000" w:themeColor="text1"/>
          <w:sz w:val="24"/>
          <w:szCs w:val="24"/>
        </w:rPr>
        <w:t>四</w:t>
      </w:r>
      <w:r>
        <w:rPr>
          <w:rFonts w:ascii="Times New Roman" w:hAnsi="Times New Roman" w:eastAsia="宋体" w:cs="Times New Roman"/>
          <w:bCs/>
          <w:color w:val="000000" w:themeColor="text1"/>
          <w:sz w:val="24"/>
          <w:szCs w:val="24"/>
        </w:rPr>
        <w:t>：</w:t>
      </w:r>
      <w:r>
        <w:rPr>
          <w:rFonts w:hint="eastAsia" w:ascii="Times New Roman" w:hAnsi="Times New Roman" w:eastAsia="宋体" w:cs="Times New Roman"/>
          <w:bCs/>
          <w:color w:val="000000" w:themeColor="text1"/>
          <w:sz w:val="24"/>
          <w:szCs w:val="24"/>
        </w:rPr>
        <w:t>环评批复</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_Toc10939 </w:instrText>
      </w:r>
      <w:r>
        <w:rPr>
          <w:rFonts w:ascii="Times New Roman" w:hAnsi="Times New Roman" w:eastAsia="宋体"/>
          <w:sz w:val="24"/>
        </w:rPr>
        <w:fldChar w:fldCharType="separate"/>
      </w:r>
      <w:r>
        <w:rPr>
          <w:rFonts w:ascii="Times New Roman" w:hAnsi="Times New Roman" w:eastAsia="宋体"/>
          <w:sz w:val="24"/>
        </w:rPr>
        <w:t>XXXVII</w:t>
      </w:r>
      <w:r>
        <w:rPr>
          <w:rFonts w:ascii="Times New Roman" w:hAnsi="Times New Roman" w:eastAsia="宋体"/>
          <w:sz w:val="24"/>
        </w:rPr>
        <w:fldChar w:fldCharType="end"/>
      </w:r>
    </w:p>
    <w:p>
      <w:pPr>
        <w:pStyle w:val="12"/>
        <w:tabs>
          <w:tab w:val="right" w:leader="dot" w:pos="9760"/>
        </w:tabs>
        <w:rPr>
          <w:rFonts w:ascii="Times New Roman" w:hAnsi="Times New Roman" w:eastAsia="宋体"/>
          <w:sz w:val="24"/>
        </w:rPr>
      </w:pPr>
      <w:r>
        <w:rPr>
          <w:rFonts w:ascii="Times New Roman" w:hAnsi="Times New Roman" w:eastAsia="宋体" w:cs="Times New Roman"/>
          <w:bCs/>
          <w:color w:val="000000" w:themeColor="text1"/>
          <w:sz w:val="24"/>
          <w:szCs w:val="24"/>
        </w:rPr>
        <w:t>附件十</w:t>
      </w:r>
      <w:r>
        <w:rPr>
          <w:rFonts w:hint="eastAsia" w:ascii="Times New Roman" w:hAnsi="Times New Roman" w:eastAsia="宋体" w:cs="Times New Roman"/>
          <w:bCs/>
          <w:color w:val="000000" w:themeColor="text1"/>
          <w:sz w:val="24"/>
          <w:szCs w:val="24"/>
          <w:lang w:val="en-US" w:eastAsia="zh-CN"/>
        </w:rPr>
        <w:t>五</w:t>
      </w:r>
      <w:r>
        <w:rPr>
          <w:rFonts w:ascii="Times New Roman" w:hAnsi="Times New Roman" w:eastAsia="宋体" w:cs="Times New Roman"/>
          <w:bCs/>
          <w:color w:val="000000" w:themeColor="text1"/>
          <w:sz w:val="24"/>
          <w:szCs w:val="24"/>
        </w:rPr>
        <w:t>：</w:t>
      </w:r>
      <w:r>
        <w:rPr>
          <w:rFonts w:hint="eastAsia" w:ascii="Times New Roman" w:hAnsi="Times New Roman" w:eastAsia="宋体" w:cs="Times New Roman"/>
          <w:bCs/>
          <w:color w:val="000000" w:themeColor="text1"/>
          <w:sz w:val="24"/>
          <w:szCs w:val="24"/>
        </w:rPr>
        <w:t>危险废物处置单位处置资质</w:t>
      </w:r>
      <w:r>
        <w:rPr>
          <w:rFonts w:ascii="Times New Roman" w:hAnsi="Times New Roman" w:eastAsia="宋体"/>
          <w:sz w:val="24"/>
        </w:rPr>
        <w:tab/>
      </w:r>
      <w:r>
        <w:rPr>
          <w:rFonts w:ascii="Times New Roman" w:hAnsi="Times New Roman" w:eastAsia="宋体"/>
          <w:sz w:val="24"/>
        </w:rPr>
        <w:fldChar w:fldCharType="begin"/>
      </w:r>
      <w:r>
        <w:rPr>
          <w:rFonts w:ascii="Times New Roman" w:hAnsi="Times New Roman" w:eastAsia="宋体"/>
          <w:sz w:val="24"/>
        </w:rPr>
        <w:instrText xml:space="preserve"> PAGEREF _Toc31856 </w:instrText>
      </w:r>
      <w:r>
        <w:rPr>
          <w:rFonts w:ascii="Times New Roman" w:hAnsi="Times New Roman" w:eastAsia="宋体"/>
          <w:sz w:val="24"/>
        </w:rPr>
        <w:fldChar w:fldCharType="separate"/>
      </w:r>
      <w:r>
        <w:rPr>
          <w:rFonts w:ascii="Times New Roman" w:hAnsi="Times New Roman" w:eastAsia="宋体"/>
          <w:sz w:val="24"/>
        </w:rPr>
        <w:t>XXXVIII</w:t>
      </w:r>
      <w:r>
        <w:rPr>
          <w:rFonts w:ascii="Times New Roman" w:hAnsi="Times New Roman" w:eastAsia="宋体"/>
          <w:sz w:val="24"/>
        </w:rPr>
        <w:fldChar w:fldCharType="end"/>
      </w:r>
    </w:p>
    <w:p>
      <w:pPr>
        <w:pStyle w:val="29"/>
        <w:tabs>
          <w:tab w:val="right" w:leader="dot" w:pos="9140"/>
        </w:tabs>
        <w:jc w:val="center"/>
        <w:rPr>
          <w:rFonts w:ascii="Times New Roman" w:hAnsi="Times New Roman" w:eastAsia="宋体"/>
          <w:color w:val="000000" w:themeColor="text1"/>
          <w:kern w:val="44"/>
          <w:sz w:val="24"/>
          <w:szCs w:val="24"/>
        </w:rPr>
      </w:pPr>
      <w:r>
        <w:rPr>
          <w:rFonts w:ascii="Times New Roman" w:hAnsi="Times New Roman" w:eastAsia="宋体"/>
          <w:color w:val="000000" w:themeColor="text1"/>
          <w:kern w:val="44"/>
          <w:sz w:val="24"/>
          <w:szCs w:val="24"/>
        </w:rPr>
        <w:fldChar w:fldCharType="end"/>
      </w:r>
      <w:bookmarkStart w:id="17" w:name="_Toc29892_WPSOffice_Level1"/>
      <w:bookmarkStart w:id="18" w:name="_Toc23940_WPSOffice_Level1"/>
      <w:bookmarkStart w:id="19" w:name="_Toc16131_WPSOffice_Level1"/>
    </w:p>
    <w:p>
      <w:pPr>
        <w:rPr>
          <w:rFonts w:ascii="Times New Roman" w:hAnsi="Times New Roman" w:eastAsia="宋体"/>
          <w:color w:val="000000" w:themeColor="text1"/>
          <w:kern w:val="44"/>
          <w:szCs w:val="24"/>
        </w:rPr>
      </w:pPr>
      <w:r>
        <w:rPr>
          <w:rFonts w:ascii="Times New Roman" w:hAnsi="Times New Roman" w:eastAsia="宋体"/>
          <w:color w:val="000000" w:themeColor="text1"/>
          <w:kern w:val="44"/>
          <w:szCs w:val="24"/>
        </w:rPr>
        <w:br w:type="page"/>
      </w:r>
    </w:p>
    <w:p>
      <w:pPr>
        <w:pStyle w:val="29"/>
        <w:tabs>
          <w:tab w:val="right" w:leader="dot" w:pos="9140"/>
        </w:tabs>
        <w:jc w:val="center"/>
        <w:rPr>
          <w:rFonts w:ascii="Times New Roman" w:hAnsi="Times New Roman" w:cs="Times New Roman"/>
          <w:b/>
          <w:color w:val="000000" w:themeColor="text1"/>
          <w:kern w:val="44"/>
          <w:sz w:val="30"/>
          <w:szCs w:val="30"/>
        </w:rPr>
      </w:pPr>
      <w:r>
        <w:rPr>
          <w:rFonts w:ascii="Times New Roman" w:hAnsi="Times New Roman" w:cs="Times New Roman"/>
          <w:b/>
          <w:bCs/>
          <w:color w:val="000000" w:themeColor="text1"/>
          <w:kern w:val="44"/>
          <w:sz w:val="30"/>
          <w:szCs w:val="30"/>
        </w:rPr>
        <w:t>1.总 则</w:t>
      </w:r>
      <w:bookmarkEnd w:id="13"/>
      <w:bookmarkEnd w:id="14"/>
      <w:bookmarkEnd w:id="15"/>
      <w:bookmarkEnd w:id="16"/>
      <w:bookmarkEnd w:id="17"/>
      <w:bookmarkEnd w:id="18"/>
      <w:bookmarkEnd w:id="19"/>
    </w:p>
    <w:p>
      <w:pPr>
        <w:keepNext/>
        <w:keepLines/>
        <w:spacing w:beforeLines="100" w:afterLines="100" w:line="500" w:lineRule="exact"/>
        <w:jc w:val="left"/>
        <w:outlineLvl w:val="1"/>
        <w:rPr>
          <w:rFonts w:ascii="Times New Roman" w:hAnsi="Times New Roman" w:cs="Times New Roman"/>
          <w:b/>
          <w:bCs/>
          <w:color w:val="000000" w:themeColor="text1"/>
          <w:kern w:val="44"/>
          <w:sz w:val="24"/>
          <w:szCs w:val="24"/>
        </w:rPr>
      </w:pPr>
      <w:bookmarkStart w:id="20" w:name="_Toc532816999"/>
      <w:bookmarkStart w:id="21" w:name="_Toc17737"/>
      <w:bookmarkStart w:id="22" w:name="_Toc30645"/>
      <w:bookmarkStart w:id="23" w:name="_Toc6001_WPSOffice_Level2"/>
      <w:bookmarkStart w:id="24" w:name="_Toc17962_WPSOffice_Level2"/>
      <w:bookmarkStart w:id="25" w:name="_Toc982_WPSOffice_Level2"/>
      <w:bookmarkStart w:id="26" w:name="_Toc10781"/>
      <w:bookmarkStart w:id="27" w:name="_Toc2634_WPSOffice_Level2"/>
      <w:bookmarkStart w:id="28" w:name="_Toc2236_WPSOffice_Level2"/>
      <w:r>
        <w:rPr>
          <w:rFonts w:ascii="Times New Roman" w:hAnsi="Times New Roman" w:cs="Times New Roman"/>
          <w:b/>
          <w:bCs/>
          <w:color w:val="000000" w:themeColor="text1"/>
          <w:kern w:val="44"/>
          <w:sz w:val="24"/>
          <w:szCs w:val="24"/>
        </w:rPr>
        <w:t>1.1编制目的</w:t>
      </w:r>
      <w:bookmarkEnd w:id="20"/>
      <w:bookmarkEnd w:id="21"/>
      <w:bookmarkEnd w:id="22"/>
      <w:bookmarkEnd w:id="23"/>
      <w:bookmarkEnd w:id="24"/>
      <w:bookmarkEnd w:id="25"/>
      <w:bookmarkEnd w:id="26"/>
      <w:bookmarkEnd w:id="27"/>
      <w:bookmarkEnd w:id="28"/>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为积极应对公司加油站在经营过程中突发的环境事件，建立健全突发环境事件的应急机制，有序、高效地组织指挥环境事件抢险救援工作，防止突发事件对环境造成的污染，公司根据国家相关法律、法规及省环保厅有关突发环境事件应急处理的要求，结合公司环境保护工作的实际情况，特制定本预案。通过预案实施防止因组织不力或现场处置工作混乱而延误事故应急，最大限度地保护员工的健康和安全，防止环境污染、减少财产损失。</w:t>
      </w:r>
    </w:p>
    <w:p>
      <w:pPr>
        <w:keepNext/>
        <w:keepLines/>
        <w:spacing w:beforeLines="100" w:afterLines="100" w:line="500" w:lineRule="exact"/>
        <w:jc w:val="left"/>
        <w:outlineLvl w:val="1"/>
        <w:rPr>
          <w:rFonts w:ascii="Times New Roman" w:hAnsi="Times New Roman" w:cs="Times New Roman"/>
          <w:b/>
          <w:bCs/>
          <w:color w:val="000000" w:themeColor="text1"/>
          <w:kern w:val="44"/>
          <w:sz w:val="24"/>
          <w:szCs w:val="24"/>
        </w:rPr>
      </w:pPr>
      <w:bookmarkStart w:id="29" w:name="_Toc4725"/>
      <w:bookmarkStart w:id="30" w:name="_Toc19347_WPSOffice_Level2"/>
      <w:bookmarkStart w:id="31" w:name="_Toc7504_WPSOffice_Level2"/>
      <w:bookmarkStart w:id="32" w:name="_Toc31062"/>
      <w:bookmarkStart w:id="33" w:name="_Toc24214"/>
      <w:bookmarkStart w:id="34" w:name="_Toc15669_WPSOffice_Level2"/>
      <w:bookmarkStart w:id="35" w:name="_Toc7910_WPSOffice_Level2"/>
      <w:bookmarkStart w:id="36" w:name="_Toc11353"/>
      <w:bookmarkStart w:id="37" w:name="_Toc30980_WPSOffice_Level2"/>
      <w:bookmarkStart w:id="38" w:name="_Toc532817000"/>
      <w:r>
        <w:rPr>
          <w:rFonts w:ascii="Times New Roman" w:hAnsi="Times New Roman" w:cs="Times New Roman"/>
          <w:b/>
          <w:bCs/>
          <w:color w:val="000000" w:themeColor="text1"/>
          <w:kern w:val="44"/>
          <w:sz w:val="24"/>
          <w:szCs w:val="24"/>
        </w:rPr>
        <w:t>1.2 编制依据</w:t>
      </w:r>
      <w:bookmarkEnd w:id="29"/>
      <w:bookmarkEnd w:id="30"/>
      <w:bookmarkEnd w:id="31"/>
      <w:bookmarkEnd w:id="32"/>
      <w:bookmarkEnd w:id="33"/>
      <w:bookmarkEnd w:id="34"/>
      <w:bookmarkEnd w:id="35"/>
      <w:bookmarkEnd w:id="36"/>
      <w:bookmarkEnd w:id="37"/>
      <w:bookmarkEnd w:id="38"/>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39" w:name="_Toc11876"/>
      <w:bookmarkStart w:id="40" w:name="_Toc982_WPSOffice_Level3"/>
      <w:bookmarkStart w:id="41" w:name="_Toc2236_WPSOffice_Level3"/>
      <w:bookmarkStart w:id="42" w:name="_Toc12113"/>
      <w:bookmarkStart w:id="43" w:name="_Toc10883"/>
      <w:bookmarkStart w:id="44" w:name="_Toc32697"/>
      <w:bookmarkStart w:id="45" w:name="_Toc17962_WPSOffice_Level3"/>
      <w:bookmarkStart w:id="46" w:name="_Toc2880"/>
      <w:bookmarkStart w:id="47" w:name="_Toc2634_WPSOffice_Level3"/>
      <w:bookmarkStart w:id="48" w:name="_Toc6001_WPSOffice_Level3"/>
      <w:bookmarkStart w:id="49" w:name="_Toc532817001"/>
      <w:r>
        <w:rPr>
          <w:rFonts w:ascii="Times New Roman" w:hAnsi="Times New Roman" w:cs="Times New Roman"/>
          <w:b/>
          <w:bCs/>
          <w:color w:val="000000" w:themeColor="text1"/>
          <w:kern w:val="44"/>
          <w:sz w:val="24"/>
          <w:szCs w:val="24"/>
        </w:rPr>
        <w:t>1.2.1法律、法规、部门规章</w:t>
      </w:r>
      <w:bookmarkEnd w:id="39"/>
      <w:bookmarkEnd w:id="40"/>
      <w:bookmarkEnd w:id="41"/>
      <w:bookmarkEnd w:id="42"/>
      <w:bookmarkEnd w:id="43"/>
      <w:bookmarkEnd w:id="44"/>
      <w:bookmarkEnd w:id="45"/>
      <w:bookmarkEnd w:id="46"/>
      <w:bookmarkEnd w:id="47"/>
      <w:bookmarkEnd w:id="48"/>
      <w:bookmarkEnd w:id="49"/>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（1）《中华人民共和国环境保护法》（中华人民共和国主席令第九号）；</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w:t>
      </w:r>
      <w:r>
        <w:fldChar w:fldCharType="begin"/>
      </w:r>
      <w:r>
        <w:instrText xml:space="preserve"> HYPERLINK "http://baike.sogou.com/lemma/ShowInnerLink.htm?lemmaId=6022556&amp;ss_c=ssc.citiao.link" \t "http://baike.sogou.com/_blank" </w:instrText>
      </w:r>
      <w:r>
        <w:fldChar w:fldCharType="separate"/>
      </w:r>
      <w:r>
        <w:rPr>
          <w:rFonts w:ascii="Times New Roman" w:hAnsi="Times New Roman" w:cs="Times New Roman"/>
          <w:color w:val="000000" w:themeColor="text1"/>
          <w:sz w:val="24"/>
          <w:szCs w:val="24"/>
        </w:rPr>
        <w:t>《中华人民共和国放射性污染防治法》</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（中华人民共和国主席令第六号）；</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（3）《中华人民共和国安全生产法》（中华人民共和国主席令第十三号）；</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（4）《中华人民共和国水污染防治法》（2008年6月1日）；</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（5）《中华人民共和国大气污染防治法》（2018</w:t>
      </w:r>
      <w:r>
        <w:rPr>
          <w:rFonts w:hint="eastAsia" w:ascii="Times New Roman" w:hAnsi="Times New Roman" w:cs="Times New Roman"/>
          <w:color w:val="000000" w:themeColor="text1"/>
          <w:sz w:val="24"/>
          <w:szCs w:val="24"/>
        </w:rPr>
        <w:t>年修订</w:t>
      </w:r>
      <w:r>
        <w:rPr>
          <w:rFonts w:ascii="Times New Roman" w:hAnsi="Times New Roman" w:cs="Times New Roman"/>
          <w:color w:val="000000" w:themeColor="text1"/>
          <w:sz w:val="24"/>
          <w:szCs w:val="24"/>
        </w:rPr>
        <w:t>）；</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（6）《中华人民共和国固体废物污染环境防治法》（2016</w:t>
      </w:r>
      <w:r>
        <w:rPr>
          <w:rFonts w:hint="eastAsia" w:ascii="Times New Roman" w:hAnsi="Times New Roman" w:cs="Times New Roman"/>
          <w:color w:val="000000" w:themeColor="text1"/>
          <w:sz w:val="24"/>
          <w:szCs w:val="24"/>
        </w:rPr>
        <w:t>年修订</w:t>
      </w:r>
      <w:r>
        <w:rPr>
          <w:rFonts w:ascii="Times New Roman" w:hAnsi="Times New Roman" w:cs="Times New Roman"/>
          <w:color w:val="000000" w:themeColor="text1"/>
          <w:sz w:val="24"/>
          <w:szCs w:val="24"/>
        </w:rPr>
        <w:t>）；</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（7）《中华人民共和国水污染防治法实施细则》（2000年3月24日）；</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（8）《中华人民共和国突发事件应对法》（2007年8月30日）；</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（9）《中华人民共和国职业病防治法》（2002年5月日）；</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（10）《中华人民共和国消防法》（2009年5月1日）；</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（11）《危险化学品安全管理条例》（2011年12月1日）；</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（12）《国家突发公共事件总体应急预案》（2006年1月8日）；</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（13）《国家突发环境事件应急预案》（国办函〔2014〕119号）；</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（14）《建设项目环境保护管理条例》（2017</w:t>
      </w:r>
      <w:r>
        <w:rPr>
          <w:rFonts w:hint="eastAsia" w:ascii="Times New Roman" w:hAnsi="Times New Roman" w:cs="Times New Roman"/>
          <w:color w:val="000000" w:themeColor="text1"/>
          <w:sz w:val="24"/>
          <w:szCs w:val="24"/>
        </w:rPr>
        <w:t>年7月1</w:t>
      </w:r>
      <w:r>
        <w:rPr>
          <w:rFonts w:ascii="Times New Roman" w:hAnsi="Times New Roman" w:cs="Times New Roman"/>
          <w:color w:val="000000" w:themeColor="text1"/>
          <w:sz w:val="24"/>
          <w:szCs w:val="24"/>
        </w:rPr>
        <w:t>6</w:t>
      </w:r>
      <w:r>
        <w:rPr>
          <w:rFonts w:hint="eastAsia" w:ascii="Times New Roman" w:hAnsi="Times New Roman" w:cs="Times New Roman"/>
          <w:color w:val="000000" w:themeColor="text1"/>
          <w:sz w:val="24"/>
          <w:szCs w:val="24"/>
        </w:rPr>
        <w:t>日</w:t>
      </w:r>
      <w:r>
        <w:rPr>
          <w:rFonts w:ascii="Times New Roman" w:hAnsi="Times New Roman" w:cs="Times New Roman"/>
          <w:color w:val="000000" w:themeColor="text1"/>
          <w:sz w:val="24"/>
          <w:szCs w:val="24"/>
        </w:rPr>
        <w:t>）；</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（15）《企业事业单位突发环境事件应急预案备案管理办法（试行）》（环发〔2015〕4号）；</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（16）《突发环境事件信息报告办法》（环境保护部令第17号）；</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（17）《企业突发环境事件风险评估指南（试行）》（环办〔2014〕34号）；</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（18）《突发环境事件应急管理办法》（环境保护部令第34号）；</w:t>
      </w:r>
    </w:p>
    <w:p>
      <w:pPr>
        <w:overflowPunct w:val="0"/>
        <w:topLinePunct/>
        <w:spacing w:line="360" w:lineRule="auto"/>
        <w:ind w:firstLine="496" w:firstLineChars="200"/>
        <w:rPr>
          <w:rFonts w:ascii="Times New Roman" w:hAnsi="Times New Roman" w:cs="Times New Roman"/>
          <w:color w:val="000000" w:themeColor="text1"/>
          <w:spacing w:val="4"/>
          <w:sz w:val="24"/>
          <w:szCs w:val="24"/>
        </w:rPr>
      </w:pPr>
      <w:r>
        <w:rPr>
          <w:rFonts w:ascii="Times New Roman" w:hAnsi="Times New Roman" w:cs="Times New Roman"/>
          <w:color w:val="000000" w:themeColor="text1"/>
          <w:spacing w:val="4"/>
          <w:sz w:val="24"/>
          <w:szCs w:val="24"/>
        </w:rPr>
        <w:t>（19）《关于印发〈企业事业单位突发环境事件应急预案评审工作指南（试行）〉的通知》（环办应急〔2018〕8号）；</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（20）《企业突发环境事件隐患排查和治理工作指南（试行）》（环境保护部公告2016年第74号）；</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（21）《江西省突发公共事件总体应急预案》；</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（22）《危险物质名录》（国家安全生产监督管理局公告2003第1号）；</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（23）《剧毒化学品名录》（国家安全生产监督管理局等8部门公告2003第2号）；</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（24）《易制爆化学品名录》（2011版）；</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（25）《国家危险废物名录》（2016年8月1日）；</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（26）《建设项目环境影响评价分类管理名录》（2018</w:t>
      </w:r>
      <w:r>
        <w:rPr>
          <w:rFonts w:hint="eastAsia" w:ascii="Times New Roman" w:hAnsi="Times New Roman" w:cs="Times New Roman"/>
          <w:color w:val="000000" w:themeColor="text1"/>
          <w:sz w:val="24"/>
          <w:szCs w:val="24"/>
        </w:rPr>
        <w:t>年版</w:t>
      </w:r>
      <w:r>
        <w:rPr>
          <w:rFonts w:ascii="Times New Roman" w:hAnsi="Times New Roman" w:cs="Times New Roman"/>
          <w:color w:val="000000" w:themeColor="text1"/>
          <w:sz w:val="24"/>
          <w:szCs w:val="24"/>
        </w:rPr>
        <w:t>）；</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（27）《关于加强环境应急管理工作的意见》（环发〔2009〕130号）；</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（28）关于印发《江西省应急预案的通知》的通知（赣府厅字〔2016〕14号）；</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（29）关于贯彻实施《突发环境事件应急预案管理办法》的通知（环办函〔2011〕379号）；</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（30）《江西省突发事件预警信息发布管理办法(试行)》；</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（31）《江西省储油库、加油站和油罐车油气回收综合治理工作方案》（赣环发〔2013〕17号）。</w:t>
      </w:r>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50" w:name="_Toc15669_WPSOffice_Level3"/>
      <w:bookmarkStart w:id="51" w:name="_Toc29793"/>
      <w:bookmarkStart w:id="52" w:name="_Toc19347_WPSOffice_Level3"/>
      <w:bookmarkStart w:id="53" w:name="_Toc18623"/>
      <w:bookmarkStart w:id="54" w:name="_Toc7910_WPSOffice_Level3"/>
      <w:bookmarkStart w:id="55" w:name="_Toc5323"/>
      <w:bookmarkStart w:id="56" w:name="_Toc23314"/>
      <w:bookmarkStart w:id="57" w:name="_Toc25918"/>
      <w:bookmarkStart w:id="58" w:name="_Toc7504_WPSOffice_Level3"/>
      <w:bookmarkStart w:id="59" w:name="_Toc532817002"/>
      <w:bookmarkStart w:id="60" w:name="_Toc30980_WPSOffice_Level3"/>
      <w:r>
        <w:rPr>
          <w:rFonts w:ascii="Times New Roman" w:hAnsi="Times New Roman" w:cs="Times New Roman"/>
          <w:b/>
          <w:bCs/>
          <w:color w:val="000000" w:themeColor="text1"/>
          <w:kern w:val="44"/>
          <w:sz w:val="24"/>
          <w:szCs w:val="24"/>
        </w:rPr>
        <w:t>1.2.2标准、规范</w:t>
      </w:r>
      <w:bookmarkEnd w:id="50"/>
      <w:bookmarkEnd w:id="51"/>
      <w:bookmarkEnd w:id="52"/>
      <w:bookmarkEnd w:id="53"/>
      <w:bookmarkEnd w:id="54"/>
      <w:bookmarkEnd w:id="55"/>
      <w:bookmarkEnd w:id="56"/>
      <w:bookmarkEnd w:id="57"/>
      <w:bookmarkEnd w:id="58"/>
      <w:bookmarkEnd w:id="59"/>
      <w:bookmarkEnd w:id="60"/>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（1）《常用化学危险品储存通则》（GB15603-1995）</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（2）《危险化学品重大危险源辨识》（GB18218-2018）；</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（3）《建设项目环境风险评价技术导则》（HJ/T169-2018）；</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（4）《地表水环境质量标准》（GB3838-2002）；</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（5）《地下水质量标准》（GB/T14848-2017）；</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（6）《环境空气质量标准》（GB3095-2012）；</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（7）《大气污染物综合排放标准》（GB16297-1996）；</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（8）《污水综合排放标准》（GB8978）；</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（9）《恶臭污染物排放标准》（GB14554）；</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（10）《声环境质量标准》（GB3096-2008）；</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（11）《工业企业厂界环境噪声排放标准》（GB12348-2008）；</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（12）《工业企业设计卫生标准》（GBZ1）；</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（13）《工作场所有害因素职业接触限值》（GBZ2）；</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（14）《危险废物鉴别标准腐蚀性鉴别》(GB5085.1)；</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（15）《危险废物鉴别标准急性毒性初筛》(GB5085.2)；</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（16）《危险废物鉴别标准浸出毒性鉴别》(GB5085.3)；</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（17）《危险废物鉴别标准易燃性鉴别》(GB5085.4)；</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（18）《危险废物鉴别标准反应性鉴别》(GB5085.5)；</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（19）《危险废物鉴别标准毒性物质含量鉴别》(GB5085.6)；</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（20）《危险废物鉴别标准通则》(GB5085.7)；</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（21）</w:t>
      </w:r>
      <w:r>
        <w:rPr>
          <w:rFonts w:ascii="Times New Roman" w:hAnsi="Times New Roman" w:cs="Times New Roman"/>
          <w:color w:val="000000" w:themeColor="text1"/>
          <w:sz w:val="24"/>
          <w:szCs w:val="24"/>
          <w:lang w:val="zh-CN"/>
        </w:rPr>
        <w:t>《企业突发环境事件风险分级方法》（HJ 941-2018）；</w:t>
      </w:r>
    </w:p>
    <w:p>
      <w:pPr>
        <w:spacing w:line="500" w:lineRule="exact"/>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w:t>
      </w:r>
      <w:r>
        <w:rPr>
          <w:rFonts w:ascii="Times New Roman" w:hAnsi="Times New Roman" w:cs="Times New Roman"/>
          <w:color w:val="000000" w:themeColor="text1"/>
          <w:sz w:val="24"/>
          <w:szCs w:val="24"/>
        </w:rPr>
        <w:t>22</w:t>
      </w:r>
      <w:r>
        <w:rPr>
          <w:rFonts w:ascii="Times New Roman" w:hAnsi="Times New Roman" w:cs="Times New Roman"/>
          <w:color w:val="000000" w:themeColor="text1"/>
          <w:sz w:val="24"/>
          <w:szCs w:val="24"/>
          <w:lang w:val="zh-CN"/>
        </w:rPr>
        <w:t>）《突发环境事件应急监测技术规范》（HJ589－2010）；</w:t>
      </w:r>
    </w:p>
    <w:p>
      <w:pPr>
        <w:spacing w:line="500" w:lineRule="exact"/>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rPr>
        <w:t>（23）《汽车加油加气站设计施工规范》（GB50156-2012）；</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zh-CN"/>
        </w:rPr>
        <w:t>（</w:t>
      </w:r>
      <w:r>
        <w:rPr>
          <w:rFonts w:ascii="Times New Roman" w:hAnsi="Times New Roman" w:cs="Times New Roman"/>
          <w:color w:val="000000" w:themeColor="text1"/>
          <w:sz w:val="24"/>
          <w:szCs w:val="24"/>
        </w:rPr>
        <w:t>24</w:t>
      </w:r>
      <w:r>
        <w:rPr>
          <w:rFonts w:ascii="Times New Roman" w:hAnsi="Times New Roman" w:cs="Times New Roman"/>
          <w:color w:val="000000" w:themeColor="text1"/>
          <w:sz w:val="24"/>
          <w:szCs w:val="24"/>
          <w:lang w:val="zh-CN"/>
        </w:rPr>
        <w:t>）《一般工业固体废物贮存、处置场污染控制标准》（GB18599-2001）；</w:t>
      </w:r>
    </w:p>
    <w:p>
      <w:pPr>
        <w:spacing w:line="500" w:lineRule="exact"/>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w:t>
      </w:r>
      <w:r>
        <w:rPr>
          <w:rFonts w:ascii="Times New Roman" w:hAnsi="Times New Roman" w:cs="Times New Roman"/>
          <w:color w:val="000000" w:themeColor="text1"/>
          <w:sz w:val="24"/>
          <w:szCs w:val="24"/>
        </w:rPr>
        <w:t>25</w:t>
      </w:r>
      <w:r>
        <w:rPr>
          <w:rFonts w:ascii="Times New Roman" w:hAnsi="Times New Roman" w:cs="Times New Roman"/>
          <w:color w:val="000000" w:themeColor="text1"/>
          <w:sz w:val="24"/>
          <w:szCs w:val="24"/>
          <w:lang w:val="zh-CN"/>
        </w:rPr>
        <w:t>）</w:t>
      </w:r>
      <w:r>
        <w:rPr>
          <w:rFonts w:ascii="Times New Roman" w:hAnsi="Times New Roman" w:cs="Times New Roman"/>
          <w:color w:val="000000" w:themeColor="text1"/>
          <w:sz w:val="24"/>
          <w:szCs w:val="24"/>
        </w:rPr>
        <w:t>《危险废物鉴别技术规范》(HI/T298)；</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（26）《企业事业单位单位突发环境事件应急预案编制指南》；</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（27）《石油化工企业环境应急预案编制指南》（环办[2010]10号）。</w:t>
      </w:r>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61" w:name="_Toc28481"/>
      <w:bookmarkStart w:id="62" w:name="_Toc14034_WPSOffice_Level3"/>
      <w:bookmarkStart w:id="63" w:name="_Toc532817003"/>
      <w:bookmarkStart w:id="64" w:name="_Toc29261_WPSOffice_Level3"/>
      <w:bookmarkStart w:id="65" w:name="_Toc3604_WPSOffice_Level3"/>
      <w:bookmarkStart w:id="66" w:name="_Toc24551_WPSOffice_Level3"/>
      <w:bookmarkStart w:id="67" w:name="_Toc5530_WPSOffice_Level3"/>
      <w:bookmarkStart w:id="68" w:name="_Toc1449"/>
      <w:bookmarkStart w:id="69" w:name="_Toc9215"/>
      <w:r>
        <w:rPr>
          <w:rFonts w:ascii="Times New Roman" w:hAnsi="Times New Roman" w:cs="Times New Roman"/>
          <w:b/>
          <w:bCs/>
          <w:color w:val="000000" w:themeColor="text1"/>
          <w:kern w:val="44"/>
          <w:sz w:val="24"/>
          <w:szCs w:val="24"/>
        </w:rPr>
        <w:t>1.2.3其它文件资料</w:t>
      </w:r>
      <w:bookmarkEnd w:id="61"/>
      <w:bookmarkEnd w:id="62"/>
      <w:bookmarkEnd w:id="63"/>
      <w:bookmarkEnd w:id="64"/>
      <w:bookmarkEnd w:id="65"/>
      <w:bookmarkEnd w:id="66"/>
      <w:bookmarkEnd w:id="67"/>
      <w:bookmarkEnd w:id="68"/>
      <w:bookmarkEnd w:id="69"/>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（1）《南昌市突发环境事件应急预案》；</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w:t>
      </w:r>
      <w:r>
        <w:rPr>
          <w:rFonts w:hint="eastAsia" w:ascii="Times New Roman" w:hAnsi="Times New Roman" w:cs="Times New Roman"/>
          <w:color w:val="000000" w:themeColor="text1"/>
          <w:sz w:val="24"/>
          <w:szCs w:val="24"/>
          <w:lang w:val="en-US" w:eastAsia="zh-CN"/>
        </w:rPr>
        <w:t>2</w:t>
      </w:r>
      <w:r>
        <w:rPr>
          <w:rFonts w:ascii="Times New Roman" w:hAnsi="Times New Roman" w:cs="Times New Roman"/>
          <w:color w:val="000000" w:themeColor="text1"/>
          <w:sz w:val="24"/>
          <w:szCs w:val="24"/>
        </w:rPr>
        <w:t>）其他相关的法律、法规、规章和标准。</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以上凡不注明日期的引用文件，其有效版本适用于本预案。</w:t>
      </w:r>
    </w:p>
    <w:p>
      <w:pPr>
        <w:keepNext/>
        <w:keepLines/>
        <w:spacing w:beforeLines="100" w:afterLines="100" w:line="500" w:lineRule="exact"/>
        <w:jc w:val="left"/>
        <w:outlineLvl w:val="1"/>
        <w:rPr>
          <w:rFonts w:ascii="Times New Roman" w:hAnsi="Times New Roman" w:cs="Times New Roman"/>
          <w:b/>
          <w:bCs/>
          <w:color w:val="000000" w:themeColor="text1"/>
          <w:kern w:val="44"/>
          <w:sz w:val="24"/>
          <w:szCs w:val="24"/>
        </w:rPr>
      </w:pPr>
      <w:bookmarkStart w:id="70" w:name="_Toc7116"/>
      <w:bookmarkStart w:id="71" w:name="_Toc3604_WPSOffice_Level2"/>
      <w:bookmarkStart w:id="72" w:name="_Toc14034_WPSOffice_Level2"/>
      <w:bookmarkStart w:id="73" w:name="_Toc532817004"/>
      <w:bookmarkStart w:id="74" w:name="_Toc8875"/>
      <w:bookmarkStart w:id="75" w:name="_Toc29261_WPSOffice_Level2"/>
      <w:bookmarkStart w:id="76" w:name="_Toc5530_WPSOffice_Level2"/>
      <w:bookmarkStart w:id="77" w:name="_Toc24551_WPSOffice_Level2"/>
      <w:r>
        <w:rPr>
          <w:rFonts w:ascii="Times New Roman" w:hAnsi="Times New Roman" w:cs="Times New Roman"/>
          <w:b/>
          <w:bCs/>
          <w:color w:val="000000" w:themeColor="text1"/>
          <w:kern w:val="44"/>
          <w:sz w:val="24"/>
          <w:szCs w:val="24"/>
        </w:rPr>
        <w:t>1.3适用范围</w:t>
      </w:r>
      <w:bookmarkEnd w:id="70"/>
      <w:bookmarkEnd w:id="71"/>
      <w:bookmarkEnd w:id="72"/>
      <w:bookmarkEnd w:id="73"/>
      <w:bookmarkEnd w:id="74"/>
      <w:bookmarkEnd w:id="75"/>
      <w:bookmarkEnd w:id="76"/>
      <w:bookmarkEnd w:id="77"/>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本预案适用于在本加油站范围内人为或不可抗力造成的废气、废水、固废（包括危险废物-废手套、废抹布、油泥、废油渣、废油污及废弃消防沙等）等环境污染、破坏事件；加油站经营范围内卸油区、储罐区、加油区、营业室等的火灾、油品泄露事故；因自然灾害造成的危及人体健康的环境污染事故；影响周围地下水、地表水水质的其它严重污染事故、周围土壤污染事故等。</w:t>
      </w:r>
    </w:p>
    <w:p>
      <w:pPr>
        <w:keepNext/>
        <w:keepLines/>
        <w:spacing w:beforeLines="100" w:afterLines="100" w:line="500" w:lineRule="exact"/>
        <w:jc w:val="left"/>
        <w:outlineLvl w:val="1"/>
        <w:rPr>
          <w:rFonts w:ascii="Times New Roman" w:hAnsi="Times New Roman" w:cs="Times New Roman"/>
          <w:b/>
          <w:bCs/>
          <w:color w:val="000000" w:themeColor="text1"/>
          <w:kern w:val="44"/>
          <w:sz w:val="24"/>
          <w:szCs w:val="24"/>
        </w:rPr>
      </w:pPr>
      <w:bookmarkStart w:id="78" w:name="_Toc9844_WPSOffice_Level2"/>
      <w:bookmarkStart w:id="79" w:name="_Toc16087"/>
      <w:bookmarkStart w:id="80" w:name="_Toc16272_WPSOffice_Level2"/>
      <w:bookmarkStart w:id="81" w:name="_Toc2112_WPSOffice_Level2"/>
      <w:bookmarkStart w:id="82" w:name="_Toc7664_WPSOffice_Level2"/>
      <w:bookmarkStart w:id="83" w:name="_Toc3671_WPSOffice_Level2"/>
      <w:bookmarkStart w:id="84" w:name="_Toc532817005"/>
      <w:bookmarkStart w:id="85" w:name="_Toc1515"/>
      <w:bookmarkStart w:id="86" w:name="_Toc10578"/>
      <w:r>
        <w:rPr>
          <w:rFonts w:ascii="Times New Roman" w:hAnsi="Times New Roman" w:cs="Times New Roman"/>
          <w:b/>
          <w:bCs/>
          <w:color w:val="000000" w:themeColor="text1"/>
          <w:kern w:val="44"/>
          <w:sz w:val="24"/>
          <w:szCs w:val="24"/>
        </w:rPr>
        <w:t>1.4应急预案体系</w:t>
      </w:r>
      <w:bookmarkEnd w:id="78"/>
      <w:bookmarkEnd w:id="79"/>
      <w:bookmarkEnd w:id="80"/>
      <w:bookmarkEnd w:id="81"/>
      <w:bookmarkEnd w:id="82"/>
      <w:bookmarkEnd w:id="83"/>
      <w:bookmarkEnd w:id="84"/>
      <w:bookmarkEnd w:id="85"/>
      <w:bookmarkEnd w:id="86"/>
    </w:p>
    <w:p>
      <w:pPr>
        <w:spacing w:line="500" w:lineRule="exact"/>
        <w:ind w:right="170"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按照《企业事业单位突发环境事件应急预案备案管理办法（试行）》（环发[2015]4号）的相关规定，应急预案体系应由总体应急预案（综合）、专项应急急预案、部门应急预案、地方应急预案、企事业单位应急预案、重大活动应急预案等六大类构成。根据本项目实际情况，本项目应急预案体系见图1.4-1。</w:t>
      </w:r>
    </w:p>
    <w:p>
      <w:pPr>
        <w:spacing w:line="500" w:lineRule="exact"/>
        <w:ind w:right="170"/>
        <w:rPr>
          <w:rFonts w:ascii="Times New Roman" w:hAnsi="Times New Roman" w:cs="Times New Roman"/>
          <w:color w:val="000000" w:themeColor="text1"/>
          <w:sz w:val="24"/>
          <w:szCs w:val="24"/>
        </w:rPr>
      </w:pPr>
      <w:r>
        <w:rPr>
          <w:rFonts w:ascii="Times New Roman" w:hAnsi="Times New Roman" w:cs="Times New Roman"/>
          <w:color w:val="000000" w:themeColor="text1"/>
        </w:rPr>
        <w:pict>
          <v:group id="画布 16" o:spid="_x0000_s2069" o:spt="203" style="position:absolute;left:0pt;margin-left:15.25pt;margin-top:3.3pt;height:118.15pt;width:435.4pt;mso-wrap-distance-bottom:0pt;mso-wrap-distance-top:0pt;z-index:251749376;mso-width-relative:page;mso-height-relative:page;" coordsize="5529580,1500504" editas="canvas">
            <o:lock v:ext="edit"/>
            <v:rect id="画布 16" o:spid="_x0000_s2070" o:spt="1" style="position:absolute;left:0;top:0;height:1500504;width:5529580;" filled="f" stroked="f" coordsize="21600,21600">
              <v:path/>
              <v:fill on="f" focussize="0,0"/>
              <v:stroke on="f"/>
              <v:imagedata o:title=""/>
              <o:lock v:ext="edit" aspectratio="t"/>
            </v:rect>
            <v:rect id="矩形 417" o:spid="_x0000_s2071" o:spt="1" style="position:absolute;left:1355725;top:0;height:357505;width:2863850;" fillcolor="#C0C0C0" filled="t" stroked="t" coordsize="21600,21600" o:gfxdata="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7ZAIQ9sAAAALAQAADwAAAAAAAAABACAAAAAiAAAAZHJzL2Rv&#10;d25yZXYueG1sUEsBAhQAFAAAAAgAh07iQEU6z103AgAAZAQAAA4AAAAAAAAAAQAgAAAAKgEAAGRy&#10;cy9lMm9Eb2MueG1sUEsFBgAAAAAGAAYAWQEAANMFAAAAAA==&#10;">
              <v:path/>
              <v:fill on="t" color2="#FFFFFF" opacity="31457f" focussize="0,0"/>
              <v:stroke weight="1pt" color="#000000" miterlimit="8" joinstyle="miter"/>
              <v:imagedata o:title=""/>
              <o:lock v:ext="edit" aspectratio="f"/>
              <v:textbox>
                <w:txbxContent>
                  <w:p>
                    <w:pPr>
                      <w:jc w:val="center"/>
                      <w:rPr>
                        <w:sz w:val="24"/>
                        <w:szCs w:val="24"/>
                      </w:rPr>
                    </w:pPr>
                    <w:r>
                      <w:rPr>
                        <w:rFonts w:hint="eastAsia" w:hAnsi="宋体"/>
                        <w:sz w:val="24"/>
                        <w:szCs w:val="24"/>
                      </w:rPr>
                      <w:t>南昌市突发环境事件应急预案</w:t>
                    </w:r>
                  </w:p>
                </w:txbxContent>
              </v:textbox>
            </v:rect>
            <v:rect id="矩形 421" o:spid="_x0000_s2074" o:spt="1" style="position:absolute;left:636905;top:855980;height:582930;width:1847850;" fillcolor="#C0C0C0" filled="t" stroked="t" coordsize="21600,21600" o:gfxdata="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&#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O2QCEPbAAAACwEAAA8AAAAAAAAAAQAgAAAAIgAAAGRy&#10;cy9kb3ducmV2LnhtbFBLAQIUABQAAAAIAIdO4kARk6IqOwIAAGkEAAAOAAAAAAAAAAEAIAAAACoB&#10;AABkcnMvZTJvRG9jLnhtbFBLBQYAAAAABgAGAFkBAADXBQAAAAA=&#10;">
              <v:path/>
              <v:fill on="t" color2="#FFFFFF" opacity="31457f" focussize="0,0"/>
              <v:stroke weight="1pt" color="#000000" miterlimit="8" joinstyle="miter"/>
              <v:imagedata o:title=""/>
              <o:lock v:ext="edit" aspectratio="f"/>
              <v:textbox>
                <w:txbxContent>
                  <w:p>
                    <w:pPr>
                      <w:jc w:val="center"/>
                      <w:rPr>
                        <w:sz w:val="24"/>
                        <w:szCs w:val="24"/>
                      </w:rPr>
                    </w:pPr>
                    <w:r>
                      <w:rPr>
                        <w:rFonts w:hint="eastAsia" w:hAnsi="宋体"/>
                        <w:sz w:val="24"/>
                        <w:szCs w:val="24"/>
                      </w:rPr>
                      <w:t>公司突发环境事件应急预案</w:t>
                    </w:r>
                  </w:p>
                </w:txbxContent>
              </v:textbox>
            </v:rect>
            <v:rect id="矩形 425" o:spid="_x0000_s2075" o:spt="1" style="position:absolute;left:3235325;top:862330;height:551180;width:1320800;" fillcolor="#C0C0C0" filled="t" stroked="t" coordsize="21600,21600" o:gfxdata="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&#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O2QCEPbAAAACwEAAA8AAAAAAAAAAQAgAAAAIgAAAGRy&#10;cy9kb3ducmV2LnhtbFBLAQIUABQAAAAIAIdO4kCqgSH9OwIAAGsEAAAOAAAAAAAAAAEAIAAAACoB&#10;AABkcnMvZTJvRG9jLnhtbFBLBQYAAAAABgAGAFkBAADXBQAAAAA=&#10;">
              <v:path/>
              <v:fill on="t" color2="#FFFFFF" opacity="31457f" focussize="0,0"/>
              <v:stroke weight="1pt" color="#000000" miterlimit="8" joinstyle="miter"/>
              <v:imagedata o:title=""/>
              <o:lock v:ext="edit" aspectratio="f"/>
              <v:textbox>
                <w:txbxContent>
                  <w:p>
                    <w:pPr>
                      <w:jc w:val="center"/>
                      <w:rPr>
                        <w:sz w:val="24"/>
                        <w:szCs w:val="24"/>
                      </w:rPr>
                    </w:pPr>
                    <w:r>
                      <w:rPr>
                        <w:rFonts w:hint="eastAsia" w:hAnsi="宋体"/>
                        <w:sz w:val="24"/>
                        <w:szCs w:val="24"/>
                      </w:rPr>
                      <w:t>公司安全事故应急预案</w:t>
                    </w:r>
                  </w:p>
                </w:txbxContent>
              </v:textbox>
            </v:rect>
            <v:shape id="自选图形 185" o:spid="_x0000_s2076" o:spt="34" type="#_x0000_t34" style="position:absolute;left:1955165;top:7620;height:1189355;width:487045;rotation:-5898240f;" filled="f" stroked="t" coordsize="21600,21600" o:gfxdata="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Tqp729sAAAALAQAADwAAAAAAAAABACAAAAAiAAAAZHJzL2Rvd25yZXYueG1sUEsBAhQAFAAAAAgA&#10;h07iQMW7ouYiAgAA7QMAAA4AAAAAAAAAAQAgAAAAKgEAAGRycy9lMm9Eb2MueG1sUEsFBgAAAAAG&#10;AAYAWQEAAL4FAAAAAA==&#10;" adj="10786">
              <v:path arrowok="t"/>
              <v:fill on="f" focussize="0,0"/>
              <v:stroke color="#000000" miterlimit="8" joinstyle="miter" endarrow="block"/>
              <v:imagedata o:title=""/>
              <o:lock v:ext="edit" aspectratio="f"/>
            </v:shape>
            <v:shape id="自选图形 186" o:spid="_x0000_s2077" o:spt="34" type="#_x0000_t34" style="position:absolute;left:3096895;top:54610;flip:y;height:1115060;width:523875;rotation:5898240f;" filled="f" stroked="t" coordsize="21600,21600" o:gfxdata="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IaL7YfcAAAACwEAAA8AAAAAAAAAAQAgAAAAIgAAAGRycy9kb3ducmV2Lnht&#10;bFBLAQIUABQAAAAIAIdO4kDTfaXALgIAAAQEAAAOAAAAAAAAAAEAIAAAACsBAABkcnMvZTJvRG9j&#10;LnhtbFBLBQYAAAAABgAGAFkBAADLBQAAAAA=&#10;" adj="10800">
              <v:path arrowok="t"/>
              <v:fill on="f" focussize="0,0"/>
              <v:stroke color="#000000" miterlimit="8" joinstyle="miter" endarrow="block" endarrowwidth="narrow"/>
              <v:imagedata o:title=""/>
              <o:lock v:ext="edit" aspectratio="f"/>
            </v:shape>
            <w10:wrap type="topAndBottom"/>
          </v:group>
        </w:pict>
      </w:r>
    </w:p>
    <w:p>
      <w:pPr>
        <w:spacing w:line="360" w:lineRule="auto"/>
        <w:jc w:val="center"/>
        <w:rPr>
          <w:rFonts w:ascii="Times New Roman" w:hAnsi="Times New Roman" w:cs="Times New Roman"/>
          <w:b/>
          <w:bCs/>
          <w:color w:val="000000" w:themeColor="text1"/>
          <w:sz w:val="24"/>
          <w:szCs w:val="24"/>
        </w:rPr>
      </w:pPr>
      <w:bookmarkStart w:id="87" w:name="_Toc7664_WPSOffice_Level3"/>
      <w:bookmarkStart w:id="88" w:name="_Toc9844_WPSOffice_Level3"/>
      <w:bookmarkStart w:id="89" w:name="_Toc2112_WPSOffice_Level3"/>
      <w:bookmarkStart w:id="90" w:name="_Toc16272_WPSOffice_Level3"/>
      <w:bookmarkStart w:id="91" w:name="_Toc3671_WPSOffice_Level3"/>
      <w:r>
        <w:rPr>
          <w:rFonts w:ascii="Times New Roman" w:hAnsi="Times New Roman" w:cs="Times New Roman"/>
          <w:b/>
          <w:bCs/>
          <w:color w:val="000000" w:themeColor="text1"/>
          <w:sz w:val="24"/>
          <w:szCs w:val="24"/>
        </w:rPr>
        <w:t>图 1.4-1 突发环境事件应急预案体系</w:t>
      </w:r>
      <w:bookmarkEnd w:id="87"/>
      <w:bookmarkEnd w:id="88"/>
      <w:bookmarkEnd w:id="89"/>
      <w:bookmarkEnd w:id="90"/>
      <w:bookmarkEnd w:id="91"/>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根据企业实际情况，本次仅编制中国</w:t>
      </w:r>
      <w:r>
        <w:rPr>
          <w:rFonts w:hint="eastAsia" w:ascii="Times New Roman" w:hAnsi="Times New Roman" w:cs="Times New Roman"/>
          <w:color w:val="000000" w:themeColor="text1"/>
          <w:sz w:val="24"/>
          <w:szCs w:val="24"/>
          <w:lang w:val="en-US" w:eastAsia="zh-CN"/>
        </w:rPr>
        <w:t>石油天然气</w:t>
      </w:r>
      <w:r>
        <w:rPr>
          <w:rFonts w:ascii="Times New Roman" w:hAnsi="Times New Roman" w:cs="Times New Roman"/>
          <w:color w:val="000000" w:themeColor="text1"/>
          <w:sz w:val="24"/>
          <w:szCs w:val="24"/>
        </w:rPr>
        <w:t>股份有限公司江西南昌</w:t>
      </w:r>
      <w:r>
        <w:rPr>
          <w:rFonts w:hint="eastAsia" w:ascii="Times New Roman" w:hAnsi="Times New Roman" w:cs="Times New Roman"/>
          <w:color w:val="000000" w:themeColor="text1"/>
          <w:sz w:val="24"/>
          <w:szCs w:val="24"/>
          <w:lang w:val="en-US" w:eastAsia="zh-CN"/>
        </w:rPr>
        <w:t>双港大道</w:t>
      </w:r>
      <w:r>
        <w:rPr>
          <w:rFonts w:ascii="Times New Roman" w:hAnsi="Times New Roman" w:cs="Times New Roman"/>
          <w:color w:val="000000" w:themeColor="text1"/>
          <w:sz w:val="24"/>
          <w:szCs w:val="24"/>
        </w:rPr>
        <w:t>加油</w:t>
      </w:r>
      <w:r>
        <w:rPr>
          <w:rFonts w:hint="eastAsia" w:ascii="Times New Roman" w:hAnsi="Times New Roman" w:cs="Times New Roman"/>
          <w:color w:val="000000" w:themeColor="text1"/>
          <w:sz w:val="24"/>
          <w:szCs w:val="24"/>
          <w:lang w:val="en-US" w:eastAsia="zh-CN"/>
        </w:rPr>
        <w:t>站</w:t>
      </w:r>
      <w:r>
        <w:rPr>
          <w:rFonts w:ascii="Times New Roman" w:hAnsi="Times New Roman" w:cs="Times New Roman"/>
          <w:color w:val="000000" w:themeColor="text1"/>
          <w:sz w:val="24"/>
          <w:szCs w:val="24"/>
        </w:rPr>
        <w:t>突发环境事件综合应急预案。同时根据实际需要和情势变化，适时修订应急预案。本应急预案的制定、修订程序根据环境保护主管部门的规定执行。项目突发环境事件应急预案为企业内部预案，企业发生</w:t>
      </w:r>
      <w:r>
        <w:rPr>
          <w:rFonts w:hint="eastAsia" w:ascii="宋体" w:hAnsi="宋体" w:eastAsia="宋体" w:cs="宋体"/>
          <w:color w:val="000000" w:themeColor="text1"/>
          <w:sz w:val="24"/>
          <w:szCs w:val="24"/>
        </w:rPr>
        <w:t>Ⅱ</w:t>
      </w:r>
      <w:r>
        <w:rPr>
          <w:rFonts w:ascii="Times New Roman" w:hAnsi="Times New Roman" w:cs="Times New Roman"/>
          <w:color w:val="000000" w:themeColor="text1"/>
          <w:sz w:val="24"/>
          <w:szCs w:val="24"/>
        </w:rPr>
        <w:t>级突发环境事件时，启动本应急预案，当突发环境事件为</w:t>
      </w:r>
      <w:r>
        <w:rPr>
          <w:rFonts w:hint="eastAsia" w:ascii="宋体" w:hAnsi="宋体" w:eastAsia="宋体" w:cs="宋体"/>
          <w:color w:val="000000" w:themeColor="text1"/>
          <w:sz w:val="24"/>
          <w:szCs w:val="24"/>
        </w:rPr>
        <w:t>Ⅰ</w:t>
      </w:r>
      <w:r>
        <w:rPr>
          <w:rFonts w:ascii="Times New Roman" w:hAnsi="Times New Roman" w:cs="Times New Roman"/>
          <w:color w:val="000000" w:themeColor="text1"/>
          <w:sz w:val="24"/>
          <w:szCs w:val="24"/>
        </w:rPr>
        <w:t>级突发环境事件时，企业总指挥应及时与南昌</w:t>
      </w:r>
      <w:r>
        <w:rPr>
          <w:rFonts w:hint="eastAsia" w:ascii="Times New Roman" w:hAnsi="Times New Roman" w:cs="Times New Roman"/>
          <w:color w:val="000000" w:themeColor="text1"/>
          <w:sz w:val="24"/>
          <w:szCs w:val="24"/>
          <w:lang w:val="en-US" w:eastAsia="zh-CN"/>
        </w:rPr>
        <w:t>市</w:t>
      </w:r>
      <w:r>
        <w:rPr>
          <w:rFonts w:ascii="Times New Roman" w:hAnsi="Times New Roman" w:cs="Times New Roman"/>
          <w:color w:val="000000" w:themeColor="text1"/>
          <w:sz w:val="24"/>
          <w:szCs w:val="24"/>
        </w:rPr>
        <w:t>人民政府、南昌</w:t>
      </w:r>
      <w:r>
        <w:rPr>
          <w:rFonts w:hint="eastAsia" w:ascii="Times New Roman" w:hAnsi="Times New Roman" w:cs="Times New Roman"/>
          <w:color w:val="000000" w:themeColor="text1"/>
          <w:sz w:val="24"/>
          <w:szCs w:val="24"/>
          <w:lang w:val="en-US" w:eastAsia="zh-CN"/>
        </w:rPr>
        <w:t>市</w:t>
      </w:r>
      <w:r>
        <w:rPr>
          <w:rFonts w:ascii="Times New Roman" w:hAnsi="Times New Roman" w:cs="Times New Roman"/>
          <w:color w:val="000000" w:themeColor="text1"/>
          <w:sz w:val="24"/>
          <w:szCs w:val="24"/>
        </w:rPr>
        <w:t>环境保护局以及相关职能管理部门的应急指挥机构联系，突发环境事件为</w:t>
      </w:r>
      <w:r>
        <w:rPr>
          <w:rFonts w:hint="eastAsia" w:ascii="宋体" w:hAnsi="宋体" w:eastAsia="宋体" w:cs="宋体"/>
          <w:color w:val="000000" w:themeColor="text1"/>
          <w:sz w:val="24"/>
          <w:szCs w:val="24"/>
        </w:rPr>
        <w:t>Ⅰ</w:t>
      </w:r>
      <w:r>
        <w:rPr>
          <w:rFonts w:ascii="Times New Roman" w:hAnsi="Times New Roman" w:cs="Times New Roman"/>
          <w:color w:val="000000" w:themeColor="text1"/>
          <w:sz w:val="24"/>
          <w:szCs w:val="24"/>
        </w:rPr>
        <w:t>级时，应启动项目所在地即《南昌</w:t>
      </w:r>
      <w:r>
        <w:rPr>
          <w:rFonts w:hint="eastAsia" w:ascii="Times New Roman" w:hAnsi="Times New Roman" w:cs="Times New Roman"/>
          <w:color w:val="000000" w:themeColor="text1"/>
          <w:sz w:val="24"/>
          <w:szCs w:val="24"/>
          <w:lang w:val="en-US" w:eastAsia="zh-CN"/>
        </w:rPr>
        <w:t>市</w:t>
      </w:r>
      <w:r>
        <w:rPr>
          <w:rFonts w:ascii="Times New Roman" w:hAnsi="Times New Roman" w:cs="Times New Roman"/>
          <w:color w:val="000000" w:themeColor="text1"/>
          <w:sz w:val="24"/>
          <w:szCs w:val="24"/>
        </w:rPr>
        <w:t>突发环境事件应急预案》；突发环境事件应急预案与生产安全事故应急预案相辅相成，互为补充；突发事件应急预案具有独立性，各司其职。当突发环境事件时，应立即启动突发环境事件应急预案，由突发环境事件衍生其他突发事件时，启动其他突发事件应急预案。</w:t>
      </w:r>
    </w:p>
    <w:p>
      <w:pPr>
        <w:keepNext/>
        <w:keepLines/>
        <w:spacing w:beforeLines="100" w:afterLines="100" w:line="360" w:lineRule="auto"/>
        <w:jc w:val="left"/>
        <w:outlineLvl w:val="1"/>
        <w:rPr>
          <w:rFonts w:ascii="Times New Roman" w:hAnsi="Times New Roman" w:cs="Times New Roman"/>
          <w:b/>
          <w:bCs/>
          <w:color w:val="000000" w:themeColor="text1"/>
          <w:kern w:val="44"/>
          <w:sz w:val="24"/>
          <w:szCs w:val="24"/>
        </w:rPr>
      </w:pPr>
      <w:bookmarkStart w:id="92" w:name="_Toc10876_WPSOffice_Level2"/>
      <w:bookmarkStart w:id="93" w:name="_Toc31711_WPSOffice_Level2"/>
      <w:bookmarkStart w:id="94" w:name="_Toc532817006"/>
      <w:bookmarkStart w:id="95" w:name="_Toc26023_WPSOffice_Level2"/>
      <w:bookmarkStart w:id="96" w:name="_Toc1636"/>
      <w:bookmarkStart w:id="97" w:name="_Toc23590_WPSOffice_Level2"/>
      <w:bookmarkStart w:id="98" w:name="_Toc10055_WPSOffice_Level2"/>
      <w:bookmarkStart w:id="99" w:name="_Toc12682"/>
      <w:r>
        <w:rPr>
          <w:rFonts w:ascii="Times New Roman" w:hAnsi="Times New Roman" w:cs="Times New Roman"/>
          <w:b/>
          <w:bCs/>
          <w:color w:val="000000" w:themeColor="text1"/>
          <w:kern w:val="44"/>
          <w:sz w:val="24"/>
          <w:szCs w:val="24"/>
        </w:rPr>
        <w:t>1.5 事故分级</w:t>
      </w:r>
      <w:bookmarkEnd w:id="92"/>
      <w:bookmarkEnd w:id="93"/>
      <w:bookmarkEnd w:id="94"/>
      <w:bookmarkEnd w:id="95"/>
      <w:bookmarkEnd w:id="96"/>
      <w:bookmarkEnd w:id="97"/>
      <w:bookmarkEnd w:id="98"/>
      <w:bookmarkEnd w:id="99"/>
    </w:p>
    <w:p>
      <w:pPr>
        <w:keepNext/>
        <w:keepLines/>
        <w:spacing w:beforeLines="50" w:afterLines="50" w:line="360" w:lineRule="auto"/>
        <w:jc w:val="left"/>
        <w:outlineLvl w:val="2"/>
        <w:rPr>
          <w:rFonts w:ascii="Times New Roman" w:hAnsi="Times New Roman" w:cs="Times New Roman"/>
          <w:b/>
          <w:bCs/>
          <w:color w:val="000000" w:themeColor="text1"/>
          <w:sz w:val="24"/>
          <w:szCs w:val="24"/>
        </w:rPr>
      </w:pPr>
      <w:bookmarkStart w:id="100" w:name="_Toc10876_WPSOffice_Level3"/>
      <w:bookmarkStart w:id="101" w:name="_Toc532817007"/>
      <w:bookmarkStart w:id="102" w:name="_Toc23590_WPSOffice_Level3"/>
      <w:bookmarkStart w:id="103" w:name="_Toc25802"/>
      <w:bookmarkStart w:id="104" w:name="_Toc23968"/>
      <w:bookmarkStart w:id="105" w:name="_Toc10055_WPSOffice_Level3"/>
      <w:bookmarkStart w:id="106" w:name="_Toc31711_WPSOffice_Level3"/>
      <w:bookmarkStart w:id="107" w:name="_Toc26023_WPSOffice_Level3"/>
      <w:r>
        <w:rPr>
          <w:rFonts w:ascii="Times New Roman" w:hAnsi="Times New Roman" w:cs="Times New Roman"/>
          <w:b/>
          <w:bCs/>
          <w:color w:val="000000" w:themeColor="text1"/>
          <w:sz w:val="24"/>
          <w:szCs w:val="24"/>
        </w:rPr>
        <w:t>1.5.1 国家应急预案分级</w:t>
      </w:r>
      <w:bookmarkEnd w:id="100"/>
      <w:bookmarkEnd w:id="101"/>
      <w:bookmarkEnd w:id="102"/>
      <w:bookmarkEnd w:id="103"/>
      <w:bookmarkEnd w:id="104"/>
      <w:bookmarkEnd w:id="105"/>
      <w:bookmarkEnd w:id="106"/>
      <w:bookmarkEnd w:id="107"/>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按照突发事件严重性和紧急程度，根据《突发环境事件信息报告办法》（环境保护部第 17 号部令），突发环境事件级别分为特别重大（</w:t>
      </w:r>
      <w:r>
        <w:rPr>
          <w:rFonts w:hint="eastAsia" w:ascii="宋体" w:hAnsi="宋体" w:eastAsia="宋体" w:cs="宋体"/>
          <w:color w:val="000000" w:themeColor="text1"/>
          <w:sz w:val="24"/>
          <w:szCs w:val="24"/>
        </w:rPr>
        <w:t>Ⅰ</w:t>
      </w:r>
      <w:r>
        <w:rPr>
          <w:rFonts w:ascii="Times New Roman" w:hAnsi="Times New Roman" w:cs="Times New Roman"/>
          <w:color w:val="000000" w:themeColor="text1"/>
          <w:sz w:val="24"/>
          <w:szCs w:val="24"/>
        </w:rPr>
        <w:t>级）、重大（</w:t>
      </w:r>
      <w:r>
        <w:rPr>
          <w:rFonts w:hint="eastAsia" w:ascii="宋体" w:hAnsi="宋体" w:eastAsia="宋体" w:cs="宋体"/>
          <w:color w:val="000000" w:themeColor="text1"/>
          <w:sz w:val="24"/>
          <w:szCs w:val="24"/>
        </w:rPr>
        <w:t>Ⅱ</w:t>
      </w:r>
      <w:r>
        <w:rPr>
          <w:rFonts w:ascii="Times New Roman" w:hAnsi="Times New Roman" w:cs="Times New Roman"/>
          <w:color w:val="000000" w:themeColor="text1"/>
          <w:sz w:val="24"/>
          <w:szCs w:val="24"/>
        </w:rPr>
        <w:t>级）、较大（</w:t>
      </w:r>
      <w:r>
        <w:rPr>
          <w:rFonts w:hint="eastAsia" w:ascii="宋体" w:hAnsi="宋体" w:eastAsia="宋体" w:cs="宋体"/>
          <w:color w:val="000000" w:themeColor="text1"/>
          <w:sz w:val="24"/>
          <w:szCs w:val="24"/>
        </w:rPr>
        <w:t>Ⅲ</w:t>
      </w:r>
      <w:r>
        <w:rPr>
          <w:rFonts w:ascii="Times New Roman" w:hAnsi="Times New Roman" w:cs="Times New Roman"/>
          <w:color w:val="000000" w:themeColor="text1"/>
          <w:sz w:val="24"/>
          <w:szCs w:val="24"/>
        </w:rPr>
        <w:t>级）和一般（</w:t>
      </w:r>
      <w:r>
        <w:rPr>
          <w:rFonts w:hint="eastAsia" w:ascii="宋体" w:hAnsi="宋体" w:eastAsia="宋体" w:cs="宋体"/>
          <w:color w:val="000000" w:themeColor="text1"/>
          <w:sz w:val="24"/>
          <w:szCs w:val="24"/>
        </w:rPr>
        <w:t>Ⅳ</w:t>
      </w:r>
      <w:r>
        <w:rPr>
          <w:rFonts w:ascii="Times New Roman" w:hAnsi="Times New Roman" w:cs="Times New Roman"/>
          <w:color w:val="000000" w:themeColor="text1"/>
          <w:sz w:val="24"/>
          <w:szCs w:val="24"/>
        </w:rPr>
        <w:t>级）四级。</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1、特别重大（</w:t>
      </w:r>
      <w:r>
        <w:rPr>
          <w:rFonts w:hint="eastAsia" w:ascii="宋体" w:hAnsi="宋体" w:eastAsia="宋体" w:cs="宋体"/>
          <w:color w:val="000000" w:themeColor="text1"/>
          <w:sz w:val="24"/>
          <w:szCs w:val="24"/>
        </w:rPr>
        <w:t>Ⅰ</w:t>
      </w:r>
      <w:r>
        <w:rPr>
          <w:rFonts w:ascii="Times New Roman" w:hAnsi="Times New Roman" w:cs="Times New Roman"/>
          <w:color w:val="000000" w:themeColor="text1"/>
          <w:sz w:val="24"/>
          <w:szCs w:val="24"/>
        </w:rPr>
        <w:t>级）突发环境事件</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凡符合下列情形之一的，为特别重大突发环境事件：</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（1）因环境污染直接导致 10 人以上死亡或 100 人以上中毒的；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（2）因环境污染需疏散、转移群众 5 万人以上的；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（3）因环境污染造成直接经济损失 1 亿元以上的；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（4）因环境污染造成区域生态功能丧失或国家重点保护物种灭绝的；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（5）因环境污染造成地市级以上城市集中式饮用水水源地取水中断的；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2、重大（</w:t>
      </w:r>
      <w:r>
        <w:rPr>
          <w:rFonts w:hint="eastAsia" w:ascii="宋体" w:hAnsi="宋体" w:eastAsia="宋体" w:cs="宋体"/>
          <w:color w:val="000000" w:themeColor="text1"/>
          <w:sz w:val="24"/>
          <w:szCs w:val="24"/>
        </w:rPr>
        <w:t>Ⅱ</w:t>
      </w:r>
      <w:r>
        <w:rPr>
          <w:rFonts w:ascii="Times New Roman" w:hAnsi="Times New Roman" w:cs="Times New Roman"/>
          <w:color w:val="000000" w:themeColor="text1"/>
          <w:sz w:val="24"/>
          <w:szCs w:val="24"/>
        </w:rPr>
        <w:t>级）突发环境事件</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凡符合下列情形之一的，为重大突发环境事件：</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（1）因环境污染直接导致 3 人以上 10 人以下死亡或 50 人以上 100 人以下中毒的；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（2）因环境污染需疏散、转移群众 1 万人以上 5 万人以下的；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（3）因环境污染造成直接经济损失 2000 万元以上 1 亿元以下的；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（4）因环境污染造成区域生态功能部分丧失或国家重点保护野生动植物种群大批死亡的；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（5）因环境污染造成</w:t>
      </w:r>
      <w:r>
        <w:rPr>
          <w:rFonts w:hint="eastAsia" w:ascii="Times New Roman" w:hAnsi="Times New Roman" w:cs="Times New Roman"/>
          <w:color w:val="000000" w:themeColor="text1"/>
          <w:sz w:val="24"/>
          <w:szCs w:val="24"/>
          <w:lang w:val="en-US" w:eastAsia="zh-CN"/>
        </w:rPr>
        <w:t>市</w:t>
      </w:r>
      <w:r>
        <w:rPr>
          <w:rFonts w:ascii="Times New Roman" w:hAnsi="Times New Roman" w:cs="Times New Roman"/>
          <w:color w:val="000000" w:themeColor="text1"/>
          <w:sz w:val="24"/>
          <w:szCs w:val="24"/>
        </w:rPr>
        <w:t>级城市集中式饮用水水源地取水中断的；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3、较大（</w:t>
      </w:r>
      <w:r>
        <w:rPr>
          <w:rFonts w:hint="eastAsia" w:ascii="宋体" w:hAnsi="宋体" w:eastAsia="宋体" w:cs="宋体"/>
          <w:color w:val="000000" w:themeColor="text1"/>
          <w:sz w:val="24"/>
          <w:szCs w:val="24"/>
        </w:rPr>
        <w:t>Ⅲ</w:t>
      </w:r>
      <w:r>
        <w:rPr>
          <w:rFonts w:ascii="Times New Roman" w:hAnsi="Times New Roman" w:cs="Times New Roman"/>
          <w:color w:val="000000" w:themeColor="text1"/>
          <w:sz w:val="24"/>
          <w:szCs w:val="24"/>
        </w:rPr>
        <w:t>级）突发环境事件</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凡符合下列情形之一的，为较大突发环境事件：</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（1）因环境污染直接导致 3 人以下死亡或 10 人以上 50 人以下中毒的；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（2）因环境污染需疏散、转移群众 5000 人以上 1 万人以下的；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（3）因环境污染造成直接经济损失 500 万元以上 2000 万元以下的；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（4）因环境污染造成国家重点保护的动植物物种受到破坏的；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（5）因环境污染造成乡镇集中式饮用水水源地取水中断的；</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4、一般（</w:t>
      </w:r>
      <w:r>
        <w:rPr>
          <w:rFonts w:hint="eastAsia" w:ascii="宋体" w:hAnsi="宋体" w:eastAsia="宋体" w:cs="宋体"/>
          <w:color w:val="000000" w:themeColor="text1"/>
          <w:sz w:val="24"/>
          <w:szCs w:val="24"/>
        </w:rPr>
        <w:t>Ⅳ</w:t>
      </w:r>
      <w:r>
        <w:rPr>
          <w:rFonts w:ascii="Times New Roman" w:hAnsi="Times New Roman" w:cs="Times New Roman"/>
          <w:color w:val="000000" w:themeColor="text1"/>
          <w:sz w:val="24"/>
          <w:szCs w:val="24"/>
        </w:rPr>
        <w:t>级）突发环境事件。</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除特别重大突发环境事件、重大突发环境事件、较大突发环境事件以外的突发环境事件。</w:t>
      </w:r>
    </w:p>
    <w:p>
      <w:pPr>
        <w:keepNext/>
        <w:keepLines/>
        <w:spacing w:beforeLines="50" w:afterLines="50" w:line="360" w:lineRule="auto"/>
        <w:jc w:val="left"/>
        <w:outlineLvl w:val="2"/>
        <w:rPr>
          <w:rFonts w:ascii="Times New Roman" w:hAnsi="Times New Roman" w:cs="Times New Roman"/>
          <w:b/>
          <w:bCs/>
          <w:color w:val="000000" w:themeColor="text1"/>
          <w:sz w:val="24"/>
          <w:szCs w:val="24"/>
        </w:rPr>
      </w:pPr>
      <w:bookmarkStart w:id="108" w:name="_Toc14468_WPSOffice_Level3"/>
      <w:bookmarkStart w:id="109" w:name="_Toc532817008"/>
      <w:bookmarkStart w:id="110" w:name="_Toc28459_WPSOffice_Level3"/>
      <w:bookmarkStart w:id="111" w:name="_Toc12984_WPSOffice_Level3"/>
      <w:bookmarkStart w:id="112" w:name="_Toc17923"/>
      <w:bookmarkStart w:id="113" w:name="_Toc2221_WPSOffice_Level3"/>
      <w:bookmarkStart w:id="114" w:name="_Toc21536_WPSOffice_Level3"/>
      <w:bookmarkStart w:id="115" w:name="_Toc20084"/>
      <w:r>
        <w:rPr>
          <w:rFonts w:ascii="Times New Roman" w:hAnsi="Times New Roman" w:cs="Times New Roman"/>
          <w:b/>
          <w:bCs/>
          <w:color w:val="000000" w:themeColor="text1"/>
          <w:sz w:val="24"/>
          <w:szCs w:val="24"/>
        </w:rPr>
        <w:t>1.5.2 企业应急预案分级</w:t>
      </w:r>
      <w:bookmarkEnd w:id="108"/>
      <w:bookmarkEnd w:id="109"/>
      <w:bookmarkEnd w:id="110"/>
      <w:bookmarkEnd w:id="111"/>
      <w:bookmarkEnd w:id="112"/>
      <w:bookmarkEnd w:id="113"/>
      <w:bookmarkEnd w:id="114"/>
      <w:bookmarkEnd w:id="115"/>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按照突发环境事件的可控范围和严重程度，加油站突发环境事件内部分级分为社会级和企业级二个等级。</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（1）社会级（</w:t>
      </w:r>
      <w:r>
        <w:rPr>
          <w:rFonts w:hint="eastAsia" w:ascii="宋体" w:hAnsi="宋体" w:eastAsia="宋体" w:cs="宋体"/>
          <w:color w:val="000000" w:themeColor="text1"/>
          <w:sz w:val="24"/>
          <w:szCs w:val="24"/>
        </w:rPr>
        <w:t>Ⅰ</w:t>
      </w:r>
      <w:r>
        <w:rPr>
          <w:rFonts w:ascii="Times New Roman" w:hAnsi="Times New Roman" w:cs="Times New Roman"/>
          <w:color w:val="000000" w:themeColor="text1"/>
          <w:sz w:val="24"/>
          <w:szCs w:val="24"/>
        </w:rPr>
        <w:t>级）</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指因突发环境事故或其他重大灾害，污染物造成受纳水体污染和大气重大污染，通过企业自身力量难以控制污染的扩散，必须向社会力量求援的事件。突发事故严重造成环境污染使当地正常的经济、社会活动受到严重影响；因环境污染造成重要水环境、环境空气的污染事故。如，加油站汽油大量泄漏，并泄漏至站区外，导致周边地表水、地下水及土壤被污染，站区发生大面积火灾，企业不能控制火灾发展趋势，对周边环境存在较大威胁时。</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此外，地震、泥石流、山体滑坡等自然灾害危及站区外环境，可能污染土壤及浅层地下水事件。事件发现者必须立即逐级上报至企业应急救援指挥部，由应急救援指挥部下发启动本预案的命令；同时，向当地人民政府、消防、安监、环保部门报告，需寻求外部救援力量。</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（2）企业级（</w:t>
      </w:r>
      <w:r>
        <w:rPr>
          <w:rFonts w:hint="eastAsia" w:ascii="宋体" w:hAnsi="宋体" w:eastAsia="宋体" w:cs="宋体"/>
          <w:color w:val="000000" w:themeColor="text1"/>
          <w:sz w:val="24"/>
          <w:szCs w:val="24"/>
        </w:rPr>
        <w:t>Ⅱ</w:t>
      </w:r>
      <w:r>
        <w:rPr>
          <w:rFonts w:ascii="Times New Roman" w:hAnsi="Times New Roman" w:cs="Times New Roman"/>
          <w:color w:val="000000" w:themeColor="text1"/>
          <w:sz w:val="24"/>
          <w:szCs w:val="24"/>
        </w:rPr>
        <w:t>级）</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指因突发环境事故或其他较大灾害，突发事件对外界没有造成大的污染，通过公司自身力量可以控制污染的扩散，削除事件对站内、站外的污染和影响的事件。</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比如，加油站汽油少量泄漏，通过采取应急措施后可控制在站区内；站区内发生局部火灾，采用站区现有的灭火设备进行灭火后，可以控制火势发展或灭火完成。</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此外，加油设施可能存在跑、冒、漏现象。企业应急救援指挥部立即安排各应急处置小组积极做好应急救援工作，防止此类突发环境事件向站外扩散。</w:t>
      </w:r>
    </w:p>
    <w:p>
      <w:pPr>
        <w:spacing w:line="360" w:lineRule="auto"/>
        <w:ind w:firstLine="482" w:firstLineChars="200"/>
        <w:outlineLvl w:val="2"/>
        <w:rPr>
          <w:rFonts w:ascii="Times New Roman" w:hAnsi="Times New Roman" w:cs="Times New Roman"/>
          <w:b/>
          <w:bCs/>
          <w:color w:val="000000" w:themeColor="text1"/>
          <w:sz w:val="24"/>
          <w:szCs w:val="24"/>
        </w:rPr>
      </w:pPr>
      <w:bookmarkStart w:id="116" w:name="_Toc28459_WPSOffice_Level2"/>
      <w:bookmarkStart w:id="117" w:name="_Toc532817009"/>
      <w:bookmarkStart w:id="118" w:name="_Toc2221_WPSOffice_Level2"/>
      <w:bookmarkStart w:id="119" w:name="_Toc12984_WPSOffice_Level2"/>
      <w:bookmarkStart w:id="120" w:name="_Toc21536_WPSOffice_Level2"/>
      <w:bookmarkStart w:id="121" w:name="_Toc14468_WPSOffice_Level2"/>
      <w:bookmarkStart w:id="122" w:name="_Toc22477"/>
      <w:bookmarkStart w:id="123" w:name="_Toc21854"/>
      <w:r>
        <w:rPr>
          <w:rFonts w:ascii="Times New Roman" w:hAnsi="Times New Roman" w:cs="Times New Roman"/>
          <w:b/>
          <w:bCs/>
          <w:color w:val="000000" w:themeColor="text1"/>
          <w:sz w:val="24"/>
          <w:szCs w:val="24"/>
        </w:rPr>
        <w:t>1.6工作原则</w:t>
      </w:r>
      <w:bookmarkEnd w:id="116"/>
      <w:bookmarkEnd w:id="117"/>
      <w:bookmarkEnd w:id="118"/>
      <w:bookmarkEnd w:id="119"/>
      <w:bookmarkEnd w:id="120"/>
      <w:bookmarkEnd w:id="121"/>
      <w:bookmarkEnd w:id="122"/>
      <w:bookmarkEnd w:id="123"/>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突发环境事件应对工作坚持统一领导、分级负责，属地为主、协调联动，</w:t>
      </w:r>
      <w:r>
        <w:fldChar w:fldCharType="begin"/>
      </w:r>
      <w:r>
        <w:instrText xml:space="preserve"> HYPERLINK "http://baike.sogou.com/lemma/ShowInnerLink.htm?lemmaId=8042370&amp;ss_c=ssc.citiao.link" \t "http://baike.sogou.com/_blank" </w:instrText>
      </w:r>
      <w:r>
        <w:fldChar w:fldCharType="separate"/>
      </w:r>
      <w:r>
        <w:rPr>
          <w:rFonts w:ascii="Times New Roman" w:hAnsi="Times New Roman" w:cs="Times New Roman"/>
          <w:color w:val="000000" w:themeColor="text1"/>
          <w:sz w:val="24"/>
          <w:szCs w:val="24"/>
        </w:rPr>
        <w:t>快速反应</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、科学处置，资源共享、保障有力的原则。突发环境事件发生后，公司有关部门立即启动按照职责分工和相关预案开展应急处置工作。</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在建立突发环境事件应急系统及实施其响应程序时，应本着实事求是、切实可行的方针，贯彻如下原则：</w:t>
      </w:r>
    </w:p>
    <w:p>
      <w:pPr>
        <w:snapToGrid w:val="0"/>
        <w:spacing w:line="56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坚持救人第一，环境优先。把保障全体职工的生命安全和身体健康、最大程度地预防和减少突发环境事件造成的人员伤亡、环境污染作为首要任务。加强对环境事件危险源的监测、监控并实施监督管理，建立环境事件风险防范体系，积极预防、及时控制、消除隐患，提高突发性环境污染事件防范和处理能力。</w:t>
      </w:r>
    </w:p>
    <w:p>
      <w:pPr>
        <w:snapToGrid w:val="0"/>
        <w:spacing w:line="56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坚持统一领导，分类管理，分级响应。接受政府环保部门的指导，使突发性环境污染事件应急系统成为区域系统的有机组成部分。加强公司部门之间协同与合作，提高快速反应能力。针对不同污染源造成的环境污染，实行分类管理，充分发挥部门专业优势，使采取的措施与突发环境污染事件造成的危害范围与社会影响相适应。</w:t>
      </w:r>
    </w:p>
    <w:p>
      <w:pPr>
        <w:snapToGrid w:val="0"/>
        <w:spacing w:line="56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依靠科学，依法规范。采用先进技术，听取各方面的意见和建议，实行科学民主决策。采用先进的救援装备和技术，增强应急救援能力。依法规范应急救援工作，确保应急预案的科学性、权威性和可操作性。</w:t>
      </w:r>
    </w:p>
    <w:p>
      <w:pPr>
        <w:snapToGrid w:val="0"/>
        <w:spacing w:line="56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坚持平战结合，专兼结合，充分利用现有资源。积极做好应对突发性环境污染事件的思想准备、物资准备、技术准备、工作准备，加强培训演练，应急系统做到常备不懈，为本公司和其他公司及社会提供服务，在应急时快速有效。</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（5）预防为主，减少危害，常备不懈。坚持预防为主的方针，宣传普及环境应急知识，不断提高环境安全意识。建立和加强突发环境事件预警机制，切实做到及时发现、及时报告、快速反应、有效控制。</w:t>
      </w:r>
    </w:p>
    <w:p>
      <w:pPr>
        <w:widowControl/>
        <w:jc w:val="lef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pPr>
        <w:keepNext/>
        <w:keepLines/>
        <w:spacing w:beforeLines="100" w:afterLines="100" w:line="500" w:lineRule="exact"/>
        <w:jc w:val="center"/>
        <w:outlineLvl w:val="0"/>
        <w:rPr>
          <w:rFonts w:ascii="Times New Roman" w:hAnsi="Times New Roman" w:cs="Times New Roman"/>
          <w:b/>
          <w:bCs/>
          <w:color w:val="000000" w:themeColor="text1"/>
          <w:kern w:val="44"/>
          <w:sz w:val="30"/>
          <w:szCs w:val="30"/>
        </w:rPr>
      </w:pPr>
      <w:bookmarkStart w:id="124" w:name="_Toc2634_WPSOffice_Level1"/>
      <w:bookmarkStart w:id="125" w:name="_Toc982_WPSOffice_Level1"/>
      <w:bookmarkStart w:id="126" w:name="_Toc12984_WPSOffice_Level1"/>
      <w:bookmarkStart w:id="127" w:name="_Toc532817010"/>
      <w:bookmarkStart w:id="128" w:name="_Toc10739"/>
      <w:bookmarkStart w:id="129" w:name="_Toc17962_WPSOffice_Level1"/>
      <w:bookmarkStart w:id="130" w:name="_Toc6001_WPSOffice_Level1"/>
      <w:bookmarkStart w:id="131" w:name="_Toc25193"/>
      <w:r>
        <w:rPr>
          <w:rFonts w:ascii="Times New Roman" w:hAnsi="Times New Roman" w:cs="Times New Roman"/>
          <w:b/>
          <w:bCs/>
          <w:color w:val="000000" w:themeColor="text1"/>
          <w:kern w:val="44"/>
          <w:sz w:val="30"/>
          <w:szCs w:val="30"/>
        </w:rPr>
        <w:t>2.加油站基本情况</w:t>
      </w:r>
      <w:bookmarkEnd w:id="124"/>
      <w:bookmarkEnd w:id="125"/>
      <w:bookmarkEnd w:id="126"/>
      <w:bookmarkEnd w:id="127"/>
      <w:bookmarkEnd w:id="128"/>
      <w:bookmarkEnd w:id="129"/>
      <w:bookmarkEnd w:id="130"/>
      <w:bookmarkEnd w:id="131"/>
    </w:p>
    <w:p>
      <w:pPr>
        <w:keepNext/>
        <w:keepLines/>
        <w:spacing w:beforeLines="100" w:afterLines="100" w:line="500" w:lineRule="exact"/>
        <w:jc w:val="left"/>
        <w:outlineLvl w:val="1"/>
        <w:rPr>
          <w:rFonts w:ascii="Times New Roman" w:hAnsi="Times New Roman" w:cs="Times New Roman"/>
          <w:b/>
          <w:bCs/>
          <w:color w:val="000000" w:themeColor="text1"/>
          <w:kern w:val="44"/>
          <w:sz w:val="24"/>
          <w:szCs w:val="24"/>
        </w:rPr>
      </w:pPr>
      <w:bookmarkStart w:id="132" w:name="_Toc26420"/>
      <w:bookmarkStart w:id="133" w:name="_Toc4443_WPSOffice_Level2"/>
      <w:bookmarkStart w:id="134" w:name="_Toc30056_WPSOffice_Level2"/>
      <w:bookmarkStart w:id="135" w:name="_Toc532817011"/>
      <w:bookmarkStart w:id="136" w:name="_Toc18784_WPSOffice_Level2"/>
      <w:bookmarkStart w:id="137" w:name="_Toc19818"/>
      <w:bookmarkStart w:id="138" w:name="_Toc7948_WPSOffice_Level2"/>
      <w:bookmarkStart w:id="139" w:name="_Toc9181"/>
      <w:bookmarkStart w:id="140" w:name="_Toc21755_WPSOffice_Level2"/>
      <w:r>
        <w:rPr>
          <w:rFonts w:ascii="Times New Roman" w:hAnsi="Times New Roman" w:cs="Times New Roman"/>
          <w:b/>
          <w:bCs/>
          <w:color w:val="000000" w:themeColor="text1"/>
          <w:kern w:val="44"/>
          <w:sz w:val="24"/>
          <w:szCs w:val="24"/>
        </w:rPr>
        <w:t>2.1</w:t>
      </w:r>
      <w:bookmarkEnd w:id="132"/>
      <w:r>
        <w:rPr>
          <w:rFonts w:ascii="Times New Roman" w:hAnsi="Times New Roman" w:cs="Times New Roman"/>
          <w:b/>
          <w:bCs/>
          <w:color w:val="000000" w:themeColor="text1"/>
          <w:kern w:val="44"/>
          <w:sz w:val="24"/>
          <w:szCs w:val="24"/>
        </w:rPr>
        <w:t>加油站概况</w:t>
      </w:r>
      <w:bookmarkEnd w:id="133"/>
      <w:bookmarkEnd w:id="134"/>
      <w:bookmarkEnd w:id="135"/>
      <w:bookmarkEnd w:id="136"/>
      <w:bookmarkEnd w:id="137"/>
      <w:bookmarkEnd w:id="138"/>
      <w:bookmarkEnd w:id="139"/>
      <w:bookmarkEnd w:id="140"/>
    </w:p>
    <w:p>
      <w:pPr>
        <w:autoSpaceDN w:val="0"/>
        <w:spacing w:line="500" w:lineRule="exact"/>
        <w:ind w:firstLine="480" w:firstLineChars="200"/>
        <w:jc w:val="lef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中国</w:t>
      </w:r>
      <w:r>
        <w:rPr>
          <w:rFonts w:hint="eastAsia" w:ascii="Times New Roman" w:hAnsi="Times New Roman" w:cs="Times New Roman"/>
          <w:color w:val="000000" w:themeColor="text1"/>
          <w:sz w:val="24"/>
          <w:szCs w:val="24"/>
          <w:lang w:val="en-US" w:eastAsia="zh-CN"/>
        </w:rPr>
        <w:t>石油天然气</w:t>
      </w:r>
      <w:r>
        <w:rPr>
          <w:rFonts w:ascii="Times New Roman" w:hAnsi="Times New Roman" w:cs="Times New Roman"/>
          <w:color w:val="000000" w:themeColor="text1"/>
          <w:sz w:val="24"/>
          <w:szCs w:val="24"/>
        </w:rPr>
        <w:t>股份有限公司江西南昌</w:t>
      </w:r>
      <w:r>
        <w:rPr>
          <w:rFonts w:hint="eastAsia" w:ascii="Times New Roman" w:hAnsi="Times New Roman" w:cs="Times New Roman"/>
          <w:color w:val="000000" w:themeColor="text1"/>
          <w:sz w:val="24"/>
          <w:szCs w:val="24"/>
          <w:lang w:val="en-US" w:eastAsia="zh-CN"/>
        </w:rPr>
        <w:t>双港大道</w:t>
      </w:r>
      <w:r>
        <w:rPr>
          <w:rFonts w:ascii="Times New Roman" w:hAnsi="Times New Roman" w:cs="Times New Roman"/>
          <w:color w:val="000000" w:themeColor="text1"/>
          <w:sz w:val="24"/>
          <w:szCs w:val="24"/>
        </w:rPr>
        <w:t>加油</w:t>
      </w:r>
      <w:r>
        <w:rPr>
          <w:rFonts w:hint="eastAsia" w:ascii="Times New Roman" w:hAnsi="Times New Roman" w:cs="Times New Roman"/>
          <w:color w:val="000000" w:themeColor="text1"/>
          <w:sz w:val="24"/>
          <w:szCs w:val="24"/>
          <w:lang w:val="en-US" w:eastAsia="zh-CN"/>
        </w:rPr>
        <w:t>站</w:t>
      </w:r>
      <w:r>
        <w:rPr>
          <w:rFonts w:ascii="Times New Roman" w:hAnsi="Times New Roman" w:cs="Times New Roman"/>
          <w:color w:val="000000" w:themeColor="text1"/>
          <w:sz w:val="24"/>
          <w:szCs w:val="24"/>
        </w:rPr>
        <w:t>位于</w:t>
      </w:r>
      <w:r>
        <w:rPr>
          <w:rFonts w:hint="eastAsia" w:asciiTheme="minorEastAsia" w:hAnsiTheme="minorEastAsia" w:eastAsiaTheme="minorEastAsia" w:cstheme="minorEastAsia"/>
          <w:color w:val="000000"/>
          <w:sz w:val="24"/>
          <w:szCs w:val="24"/>
        </w:rPr>
        <w:t>江西省南昌市</w:t>
      </w:r>
      <w:r>
        <w:rPr>
          <w:rStyle w:val="36"/>
          <w:rFonts w:hint="eastAsia" w:asciiTheme="minorEastAsia" w:hAnsiTheme="minorEastAsia" w:eastAsiaTheme="minorEastAsia" w:cstheme="minorEastAsia"/>
          <w:kern w:val="0"/>
          <w:sz w:val="24"/>
          <w:szCs w:val="24"/>
        </w:rPr>
        <w:t>双港大道与庐山大道交汇处</w:t>
      </w:r>
      <w:r>
        <w:rPr>
          <w:rFonts w:ascii="Times New Roman" w:hAnsi="Times New Roman" w:cs="Times New Roman"/>
          <w:color w:val="000000" w:themeColor="text1"/>
          <w:sz w:val="24"/>
          <w:szCs w:val="24"/>
        </w:rPr>
        <w:t>，</w:t>
      </w:r>
      <w:r>
        <w:rPr>
          <w:rFonts w:hint="eastAsia" w:ascii="Times New Roman" w:hAnsi="Times New Roman" w:cs="Times New Roman"/>
          <w:color w:val="000000" w:themeColor="text1"/>
          <w:sz w:val="24"/>
          <w:szCs w:val="24"/>
        </w:rPr>
        <w:t>目前项目已获得由南昌</w:t>
      </w:r>
      <w:r>
        <w:rPr>
          <w:rFonts w:hint="eastAsia" w:ascii="Times New Roman" w:hAnsi="Times New Roman" w:cs="Times New Roman"/>
          <w:color w:val="000000" w:themeColor="text1"/>
          <w:sz w:val="24"/>
          <w:szCs w:val="24"/>
          <w:lang w:val="en-US" w:eastAsia="zh-CN"/>
        </w:rPr>
        <w:t>市</w:t>
      </w:r>
      <w:r>
        <w:rPr>
          <w:rFonts w:hint="eastAsia" w:ascii="Times New Roman" w:hAnsi="Times New Roman" w:cs="Times New Roman"/>
          <w:color w:val="000000" w:themeColor="text1"/>
          <w:sz w:val="24"/>
          <w:szCs w:val="24"/>
        </w:rPr>
        <w:t>市场和质量监督管理局下发的“营业执照”（统一社会信用代码为</w:t>
      </w:r>
      <w:r>
        <w:rPr>
          <w:rFonts w:hint="default" w:ascii="Times New Roman" w:hAnsi="Times New Roman" w:eastAsia="微软雅黑" w:cs="Times New Roman"/>
          <w:i w:val="0"/>
          <w:caps w:val="0"/>
          <w:color w:val="333333"/>
          <w:spacing w:val="0"/>
          <w:sz w:val="24"/>
          <w:szCs w:val="24"/>
          <w:shd w:val="clear" w:fill="FFFFFF"/>
        </w:rPr>
        <w:t>91360108586552573N</w:t>
      </w:r>
      <w:r>
        <w:rPr>
          <w:rFonts w:hint="eastAsia" w:ascii="Times New Roman" w:hAnsi="Times New Roman" w:cs="Times New Roman"/>
          <w:color w:val="000000" w:themeColor="text1"/>
          <w:sz w:val="24"/>
          <w:szCs w:val="24"/>
        </w:rPr>
        <w:t>），江西省商务厅下发的“成品油零售经营批准证书”（油零售证书第赣</w:t>
      </w:r>
      <w:r>
        <w:rPr>
          <w:rFonts w:ascii="Times New Roman" w:hAnsi="Times New Roman" w:cs="Times New Roman"/>
          <w:sz w:val="24"/>
          <w:szCs w:val="24"/>
        </w:rPr>
        <w:t>A</w:t>
      </w:r>
      <w:r>
        <w:rPr>
          <w:rFonts w:hint="eastAsia" w:ascii="Times New Roman" w:hAnsi="Times New Roman" w:cs="Times New Roman"/>
          <w:sz w:val="24"/>
          <w:szCs w:val="24"/>
          <w:lang w:val="en-US" w:eastAsia="zh-CN"/>
        </w:rPr>
        <w:t>10</w:t>
      </w:r>
      <w:r>
        <w:rPr>
          <w:rFonts w:ascii="Times New Roman" w:hAnsi="Times New Roman" w:cs="Times New Roman"/>
          <w:sz w:val="24"/>
          <w:szCs w:val="24"/>
        </w:rPr>
        <w:t>-</w:t>
      </w:r>
      <w:r>
        <w:rPr>
          <w:rFonts w:hint="eastAsia" w:ascii="Times New Roman" w:hAnsi="Times New Roman" w:cs="Times New Roman"/>
          <w:sz w:val="24"/>
          <w:szCs w:val="24"/>
          <w:lang w:val="en-US" w:eastAsia="zh-CN"/>
        </w:rPr>
        <w:t>42218</w:t>
      </w:r>
      <w:r>
        <w:rPr>
          <w:rFonts w:hint="eastAsia" w:ascii="Times New Roman" w:hAnsi="Times New Roman" w:cs="Times New Roman"/>
          <w:color w:val="000000" w:themeColor="text1"/>
          <w:sz w:val="24"/>
          <w:szCs w:val="24"/>
        </w:rPr>
        <w:t>号），南昌市安全生产监督管理局下发的“危险化学品经营许可证”（赣洪安经（甲）字</w:t>
      </w:r>
      <w:r>
        <w:rPr>
          <w:rFonts w:hint="default" w:ascii="Times New Roman" w:hAnsi="Times New Roman" w:cs="Times New Roman"/>
          <w:sz w:val="24"/>
        </w:rPr>
        <w:t>[201</w:t>
      </w:r>
      <w:r>
        <w:rPr>
          <w:rFonts w:hint="eastAsia" w:ascii="Times New Roman" w:hAnsi="Times New Roman" w:cs="Times New Roman"/>
          <w:sz w:val="24"/>
          <w:lang w:val="en-US" w:eastAsia="zh-CN"/>
        </w:rPr>
        <w:t>7</w:t>
      </w:r>
      <w:r>
        <w:rPr>
          <w:rFonts w:hint="default" w:ascii="Times New Roman" w:hAnsi="Times New Roman" w:cs="Times New Roman"/>
          <w:sz w:val="24"/>
        </w:rPr>
        <w:t>]00</w:t>
      </w:r>
      <w:r>
        <w:rPr>
          <w:rFonts w:hint="eastAsia" w:ascii="Times New Roman" w:hAnsi="Times New Roman" w:cs="Times New Roman"/>
          <w:sz w:val="24"/>
          <w:lang w:val="en-US" w:eastAsia="zh-CN"/>
        </w:rPr>
        <w:t>11</w:t>
      </w:r>
      <w:r>
        <w:rPr>
          <w:rFonts w:hint="eastAsia" w:ascii="Times New Roman" w:hAnsi="Times New Roman" w:cs="Times New Roman"/>
          <w:color w:val="000000" w:themeColor="text1"/>
          <w:sz w:val="24"/>
          <w:szCs w:val="24"/>
        </w:rPr>
        <w:t>号）。</w:t>
      </w:r>
      <w:r>
        <w:rPr>
          <w:rFonts w:ascii="Times New Roman" w:hAnsi="Times New Roman" w:cs="Times New Roman"/>
          <w:sz w:val="24"/>
          <w:szCs w:val="24"/>
        </w:rPr>
        <w:t>加油站</w:t>
      </w:r>
      <w:r>
        <w:rPr>
          <w:rFonts w:ascii="Times New Roman" w:hAnsi="Times New Roman" w:cs="Times New Roman"/>
          <w:color w:val="000000" w:themeColor="text1"/>
          <w:sz w:val="24"/>
          <w:szCs w:val="24"/>
        </w:rPr>
        <w:t>总占地面积约为</w:t>
      </w:r>
      <w:r>
        <w:rPr>
          <w:rFonts w:hint="eastAsia" w:ascii="Times New Roman" w:hAnsi="Times New Roman" w:cs="Times New Roman"/>
          <w:color w:val="000000" w:themeColor="text1"/>
          <w:sz w:val="24"/>
          <w:szCs w:val="24"/>
          <w:lang w:val="en-US" w:eastAsia="zh-CN"/>
        </w:rPr>
        <w:t>6400</w:t>
      </w:r>
      <w:r>
        <w:rPr>
          <w:rFonts w:ascii="Times New Roman" w:hAnsi="Times New Roman" w:cs="Times New Roman"/>
          <w:color w:val="000000" w:themeColor="text1"/>
          <w:sz w:val="24"/>
          <w:szCs w:val="24"/>
        </w:rPr>
        <w:t>m</w:t>
      </w:r>
      <w:r>
        <w:rPr>
          <w:rFonts w:ascii="Times New Roman" w:hAnsi="Times New Roman" w:cs="Times New Roman"/>
          <w:color w:val="000000" w:themeColor="text1"/>
          <w:sz w:val="24"/>
          <w:szCs w:val="24"/>
          <w:vertAlign w:val="superscript"/>
        </w:rPr>
        <w:t>2</w:t>
      </w:r>
      <w:r>
        <w:rPr>
          <w:rFonts w:ascii="Times New Roman" w:hAnsi="Times New Roman" w:cs="Times New Roman"/>
          <w:color w:val="000000" w:themeColor="text1"/>
          <w:sz w:val="24"/>
          <w:szCs w:val="24"/>
        </w:rPr>
        <w:t>，建筑面积约为</w:t>
      </w:r>
      <w:r>
        <w:rPr>
          <w:rFonts w:hint="eastAsia" w:ascii="Times New Roman" w:hAnsi="Times New Roman" w:cs="Times New Roman"/>
          <w:color w:val="000000" w:themeColor="text1"/>
          <w:sz w:val="24"/>
          <w:szCs w:val="24"/>
          <w:lang w:val="en-US" w:eastAsia="zh-CN"/>
        </w:rPr>
        <w:t>1900</w:t>
      </w:r>
      <w:r>
        <w:rPr>
          <w:rFonts w:ascii="Times New Roman" w:hAnsi="Times New Roman" w:cs="Times New Roman"/>
          <w:color w:val="000000" w:themeColor="text1"/>
          <w:sz w:val="24"/>
          <w:szCs w:val="24"/>
        </w:rPr>
        <w:t>m</w:t>
      </w:r>
      <w:r>
        <w:rPr>
          <w:rFonts w:ascii="Times New Roman" w:hAnsi="Times New Roman" w:cs="Times New Roman"/>
          <w:color w:val="000000" w:themeColor="text1"/>
          <w:sz w:val="24"/>
          <w:szCs w:val="24"/>
          <w:vertAlign w:val="superscript"/>
        </w:rPr>
        <w:t>2</w:t>
      </w:r>
      <w:r>
        <w:rPr>
          <w:rFonts w:ascii="Times New Roman" w:hAnsi="Times New Roman" w:cs="Times New Roman"/>
          <w:color w:val="000000" w:themeColor="text1"/>
          <w:sz w:val="24"/>
          <w:szCs w:val="24"/>
        </w:rPr>
        <w:t>。项目主要分为三个区，分别为</w:t>
      </w:r>
      <w:r>
        <w:rPr>
          <w:rFonts w:hint="eastAsia" w:ascii="宋体" w:hAnsi="宋体" w:eastAsia="宋体" w:cs="宋体"/>
          <w:color w:val="000000" w:themeColor="text1"/>
          <w:sz w:val="24"/>
          <w:szCs w:val="24"/>
        </w:rPr>
        <w:t>①</w:t>
      </w:r>
      <w:r>
        <w:rPr>
          <w:rFonts w:ascii="Times New Roman" w:hAnsi="Times New Roman" w:cs="Times New Roman"/>
          <w:color w:val="000000" w:themeColor="text1"/>
          <w:sz w:val="24"/>
          <w:szCs w:val="24"/>
        </w:rPr>
        <w:t>储油罐区</w:t>
      </w:r>
      <w:r>
        <w:rPr>
          <w:rFonts w:hint="eastAsia" w:ascii="宋体" w:hAnsi="宋体" w:eastAsia="宋体" w:cs="宋体"/>
          <w:color w:val="000000" w:themeColor="text1"/>
          <w:sz w:val="24"/>
          <w:szCs w:val="24"/>
        </w:rPr>
        <w:t>②</w:t>
      </w:r>
      <w:r>
        <w:rPr>
          <w:rFonts w:ascii="Times New Roman" w:hAnsi="Times New Roman" w:cs="Times New Roman"/>
          <w:color w:val="000000" w:themeColor="text1"/>
          <w:sz w:val="24"/>
          <w:szCs w:val="24"/>
        </w:rPr>
        <w:t>营业区</w:t>
      </w:r>
      <w:r>
        <w:rPr>
          <w:rFonts w:hint="eastAsia" w:ascii="宋体" w:hAnsi="宋体" w:eastAsia="宋体" w:cs="宋体"/>
          <w:color w:val="000000" w:themeColor="text1"/>
          <w:sz w:val="24"/>
          <w:szCs w:val="24"/>
        </w:rPr>
        <w:t>③</w:t>
      </w:r>
      <w:r>
        <w:rPr>
          <w:rFonts w:ascii="Times New Roman" w:hAnsi="Times New Roman" w:cs="Times New Roman"/>
          <w:color w:val="000000" w:themeColor="text1"/>
          <w:sz w:val="24"/>
          <w:szCs w:val="24"/>
        </w:rPr>
        <w:t>加油区。储油罐区包括储罐区、卸油区；营业区包括站房、便利店、辅助用房及卫生间等；加油区即为加油机所在区。项目储罐区建设有</w:t>
      </w:r>
      <w:r>
        <w:rPr>
          <w:rFonts w:hint="eastAsia" w:ascii="Times New Roman" w:hAnsi="Times New Roman" w:cs="Times New Roman"/>
          <w:color w:val="000000" w:themeColor="text1"/>
          <w:sz w:val="24"/>
          <w:szCs w:val="24"/>
          <w:lang w:val="en-US" w:eastAsia="zh-CN"/>
        </w:rPr>
        <w:t>5</w:t>
      </w:r>
      <w:r>
        <w:rPr>
          <w:rFonts w:ascii="Times New Roman" w:hAnsi="Times New Roman" w:cs="Times New Roman"/>
          <w:color w:val="000000" w:themeColor="text1"/>
          <w:sz w:val="24"/>
          <w:szCs w:val="24"/>
        </w:rPr>
        <w:t>个地埋卧式油罐，包括0#柴油油罐</w:t>
      </w:r>
      <w:r>
        <w:rPr>
          <w:rFonts w:hint="eastAsia" w:ascii="Times New Roman" w:hAnsi="Times New Roman" w:cs="Times New Roman"/>
          <w:color w:val="000000" w:themeColor="text1"/>
          <w:sz w:val="24"/>
          <w:szCs w:val="24"/>
          <w:lang w:val="en-US" w:eastAsia="zh-CN"/>
        </w:rPr>
        <w:t>2</w:t>
      </w:r>
      <w:r>
        <w:rPr>
          <w:rFonts w:ascii="Times New Roman" w:hAnsi="Times New Roman" w:cs="Times New Roman"/>
          <w:color w:val="000000" w:themeColor="text1"/>
          <w:sz w:val="24"/>
          <w:szCs w:val="24"/>
        </w:rPr>
        <w:t>台、93#汽油油罐</w:t>
      </w:r>
      <w:r>
        <w:rPr>
          <w:rFonts w:hint="eastAsia" w:ascii="Times New Roman" w:hAnsi="Times New Roman" w:cs="Times New Roman"/>
          <w:color w:val="000000" w:themeColor="text1"/>
          <w:sz w:val="24"/>
          <w:szCs w:val="24"/>
          <w:lang w:val="en-US" w:eastAsia="zh-CN"/>
        </w:rPr>
        <w:t>2台</w:t>
      </w:r>
      <w:r>
        <w:rPr>
          <w:rFonts w:ascii="Times New Roman" w:hAnsi="Times New Roman" w:cs="Times New Roman"/>
          <w:color w:val="000000" w:themeColor="text1"/>
          <w:sz w:val="24"/>
          <w:szCs w:val="24"/>
        </w:rPr>
        <w:t>，9</w:t>
      </w:r>
      <w:r>
        <w:rPr>
          <w:rFonts w:hint="eastAsia" w:ascii="Times New Roman" w:hAnsi="Times New Roman" w:cs="Times New Roman"/>
          <w:color w:val="000000" w:themeColor="text1"/>
          <w:sz w:val="24"/>
          <w:szCs w:val="24"/>
          <w:lang w:val="en-US" w:eastAsia="zh-CN"/>
        </w:rPr>
        <w:t>7</w:t>
      </w:r>
      <w:r>
        <w:rPr>
          <w:rFonts w:ascii="Times New Roman" w:hAnsi="Times New Roman" w:cs="Times New Roman"/>
          <w:color w:val="000000" w:themeColor="text1"/>
          <w:sz w:val="24"/>
          <w:szCs w:val="24"/>
        </w:rPr>
        <w:t>#汽油油罐</w:t>
      </w:r>
      <w:r>
        <w:rPr>
          <w:rFonts w:hint="eastAsia" w:ascii="Times New Roman" w:hAnsi="Times New Roman" w:cs="Times New Roman"/>
          <w:color w:val="000000" w:themeColor="text1"/>
          <w:sz w:val="24"/>
          <w:szCs w:val="24"/>
          <w:lang w:val="en-US" w:eastAsia="zh-CN"/>
        </w:rPr>
        <w:t>1台</w:t>
      </w:r>
      <w:r>
        <w:rPr>
          <w:rFonts w:ascii="Times New Roman" w:hAnsi="Times New Roman" w:cs="Times New Roman"/>
          <w:color w:val="000000" w:themeColor="text1"/>
          <w:sz w:val="24"/>
          <w:szCs w:val="24"/>
        </w:rPr>
        <w:t>，总容积折合为</w:t>
      </w:r>
      <w:r>
        <w:rPr>
          <w:rFonts w:hint="eastAsia" w:ascii="Times New Roman" w:hAnsi="Times New Roman" w:cs="Times New Roman"/>
          <w:color w:val="000000" w:themeColor="text1"/>
          <w:sz w:val="24"/>
          <w:szCs w:val="24"/>
          <w:lang w:val="en-US" w:eastAsia="zh-CN"/>
        </w:rPr>
        <w:t>120</w:t>
      </w:r>
      <w:r>
        <w:rPr>
          <w:rFonts w:ascii="Times New Roman" w:hAnsi="Times New Roman" w:cs="Times New Roman"/>
          <w:color w:val="000000" w:themeColor="text1"/>
          <w:sz w:val="24"/>
          <w:szCs w:val="24"/>
        </w:rPr>
        <w:t>m</w:t>
      </w:r>
      <w:r>
        <w:rPr>
          <w:rFonts w:ascii="Times New Roman" w:hAnsi="Times New Roman" w:cs="Times New Roman"/>
          <w:color w:val="000000" w:themeColor="text1"/>
          <w:sz w:val="24"/>
          <w:szCs w:val="24"/>
          <w:vertAlign w:val="superscript"/>
        </w:rPr>
        <w:t>3</w:t>
      </w:r>
      <w:r>
        <w:rPr>
          <w:rFonts w:hint="eastAsia" w:ascii="Times New Roman" w:hAnsi="Times New Roman" w:cs="Times New Roman"/>
          <w:color w:val="000000" w:themeColor="text1"/>
          <w:sz w:val="24"/>
          <w:szCs w:val="24"/>
          <w:lang w:eastAsia="zh-CN"/>
        </w:rPr>
        <w:t>（</w:t>
      </w:r>
      <w:r>
        <w:rPr>
          <w:rFonts w:hint="eastAsia" w:ascii="Times New Roman" w:hAnsi="Times New Roman" w:cs="Times New Roman"/>
          <w:color w:val="000000" w:themeColor="text1"/>
          <w:sz w:val="24"/>
          <w:szCs w:val="24"/>
          <w:lang w:val="en-US" w:eastAsia="zh-CN"/>
        </w:rPr>
        <w:t>柴油折半计算</w:t>
      </w:r>
      <w:r>
        <w:rPr>
          <w:rFonts w:hint="eastAsia"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rPr>
        <w:t>，为</w:t>
      </w:r>
      <w:r>
        <w:rPr>
          <w:rFonts w:hint="eastAsia" w:ascii="Times New Roman" w:hAnsi="Times New Roman" w:cs="Times New Roman"/>
          <w:color w:val="000000" w:themeColor="text1"/>
          <w:sz w:val="24"/>
          <w:szCs w:val="24"/>
          <w:lang w:val="en-US" w:eastAsia="zh-CN"/>
        </w:rPr>
        <w:t>二</w:t>
      </w:r>
      <w:r>
        <w:rPr>
          <w:rFonts w:ascii="Times New Roman" w:hAnsi="Times New Roman" w:cs="Times New Roman"/>
          <w:color w:val="000000" w:themeColor="text1"/>
          <w:sz w:val="24"/>
          <w:szCs w:val="24"/>
        </w:rPr>
        <w:t>级加油站</w:t>
      </w:r>
      <w:r>
        <w:rPr>
          <w:rFonts w:hint="eastAsia" w:ascii="Times New Roman" w:hAnsi="Times New Roman" w:cs="Times New Roman"/>
          <w:color w:val="000000" w:themeColor="text1"/>
          <w:sz w:val="24"/>
          <w:szCs w:val="24"/>
          <w:lang w:eastAsia="zh-CN"/>
        </w:rPr>
        <w:t>，</w:t>
      </w:r>
      <w:r>
        <w:rPr>
          <w:color w:val="000000"/>
          <w:sz w:val="24"/>
        </w:rPr>
        <w:t>配设</w:t>
      </w:r>
      <w:r>
        <w:rPr>
          <w:rFonts w:hint="default" w:ascii="Times New Roman" w:hAnsi="Times New Roman" w:cs="Times New Roman"/>
          <w:color w:val="000000"/>
          <w:sz w:val="24"/>
          <w:lang w:val="en-US" w:eastAsia="zh-CN"/>
        </w:rPr>
        <w:t>6</w:t>
      </w:r>
      <w:r>
        <w:rPr>
          <w:color w:val="000000"/>
          <w:sz w:val="24"/>
        </w:rPr>
        <w:t>台双枪加油机</w:t>
      </w:r>
      <w:r>
        <w:rPr>
          <w:rFonts w:hint="eastAsia"/>
          <w:color w:val="000000"/>
          <w:sz w:val="24"/>
          <w:lang w:eastAsia="zh-CN"/>
        </w:rPr>
        <w:t>。</w:t>
      </w:r>
      <w:r>
        <w:rPr>
          <w:rFonts w:ascii="Times New Roman" w:hAnsi="Times New Roman" w:cs="Times New Roman"/>
          <w:color w:val="000000" w:themeColor="text1"/>
          <w:sz w:val="24"/>
          <w:szCs w:val="24"/>
        </w:rPr>
        <w:t>项目区设加油进出口2个。本项目营业范围包括：柴油、汽油等。</w:t>
      </w:r>
    </w:p>
    <w:p>
      <w:pPr>
        <w:autoSpaceDN w:val="0"/>
        <w:spacing w:line="500" w:lineRule="exact"/>
        <w:ind w:firstLine="480" w:firstLineChars="200"/>
        <w:jc w:val="lef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加油站有职工</w:t>
      </w:r>
      <w:r>
        <w:rPr>
          <w:rFonts w:hint="eastAsia" w:ascii="Times New Roman" w:hAnsi="Times New Roman" w:cs="Times New Roman"/>
          <w:color w:val="000000" w:themeColor="text1"/>
          <w:sz w:val="24"/>
          <w:szCs w:val="24"/>
          <w:lang w:val="en-US" w:eastAsia="zh-CN"/>
        </w:rPr>
        <w:t>10人</w:t>
      </w:r>
      <w:r>
        <w:rPr>
          <w:rFonts w:ascii="Times New Roman" w:hAnsi="Times New Roman" w:cs="Times New Roman"/>
          <w:color w:val="000000" w:themeColor="text1"/>
          <w:sz w:val="24"/>
          <w:szCs w:val="24"/>
        </w:rPr>
        <w:t>，站内设卫生间、宿舍，员工餐饮外购或自带；项目经营大车加水，不设置汽修、洗车等内容。加油站年工作365d，每天四班，每班6小时，每班1-2人。</w:t>
      </w:r>
    </w:p>
    <w:p>
      <w:pPr>
        <w:snapToGrid w:val="0"/>
        <w:spacing w:line="500" w:lineRule="exact"/>
        <w:ind w:left="562"/>
        <w:jc w:val="left"/>
        <w:rPr>
          <w:rFonts w:ascii="宋体" w:hAnsi="宋体" w:eastAsia="宋体" w:cs="Times New Roman"/>
          <w:color w:val="000000" w:themeColor="text1"/>
          <w:sz w:val="24"/>
          <w:szCs w:val="24"/>
        </w:rPr>
      </w:pPr>
      <w:r>
        <w:rPr>
          <w:rFonts w:ascii="宋体" w:hAnsi="宋体" w:eastAsia="宋体" w:cs="Times New Roman"/>
          <w:b/>
          <w:color w:val="000000" w:themeColor="text1"/>
          <w:sz w:val="24"/>
          <w:szCs w:val="24"/>
        </w:rPr>
        <w:t>加油站项目环保手续办理情况：</w:t>
      </w:r>
    </w:p>
    <w:p>
      <w:pPr>
        <w:autoSpaceDN w:val="0"/>
        <w:spacing w:line="500" w:lineRule="exact"/>
        <w:ind w:firstLine="480" w:firstLineChars="200"/>
        <w:jc w:val="left"/>
        <w:rPr>
          <w:rFonts w:ascii="Times New Roman" w:hAnsi="Times New Roman" w:cs="Times New Roman"/>
          <w:color w:val="000000" w:themeColor="text1"/>
          <w:sz w:val="24"/>
          <w:szCs w:val="24"/>
        </w:rPr>
      </w:pPr>
      <w:bookmarkStart w:id="141" w:name="_Toc29761"/>
      <w:bookmarkStart w:id="142" w:name="_Toc1226_WPSOffice_Level2"/>
      <w:bookmarkStart w:id="143" w:name="_Toc532817012"/>
      <w:bookmarkStart w:id="144" w:name="_Toc9242_WPSOffice_Level2"/>
      <w:bookmarkStart w:id="145" w:name="_Toc29593_WPSOffice_Level2"/>
      <w:bookmarkStart w:id="146" w:name="_Toc11689_WPSOffice_Level2"/>
      <w:bookmarkStart w:id="147" w:name="_Toc23231_WPSOffice_Level2"/>
      <w:r>
        <w:rPr>
          <w:rFonts w:hint="eastAsia" w:ascii="Times New Roman" w:hAnsi="Times New Roman" w:cs="Times New Roman"/>
          <w:color w:val="000000" w:themeColor="text1"/>
          <w:sz w:val="24"/>
          <w:szCs w:val="24"/>
        </w:rPr>
        <w:t>因本项目一直没有办理环评审批手续，根据国家环保法律法规、《国务院办公厅关于加强环境监管执法的通知》(国办发[2014]56 号)、《江西省环境保护委员会关于印发进一步加强清理整顿违法违规建设项目工作的通知》（赣环委字[2016]14 号）和《关于印发违法违规项目清理进一步推进工作方案的通知》 (洪环发[2016]87 号)，本项目以编制环境现状评价报告以办理“完善备案”手续。备案批复详见附件十四。</w:t>
      </w:r>
    </w:p>
    <w:p>
      <w:pPr>
        <w:keepNext/>
        <w:keepLines/>
        <w:spacing w:beforeLines="100" w:afterLines="100" w:line="500" w:lineRule="exact"/>
        <w:jc w:val="left"/>
        <w:outlineLvl w:val="1"/>
        <w:rPr>
          <w:rFonts w:ascii="Times New Roman" w:hAnsi="Times New Roman" w:cs="Times New Roman"/>
          <w:b/>
          <w:bCs/>
          <w:color w:val="000000" w:themeColor="text1"/>
          <w:kern w:val="44"/>
          <w:sz w:val="24"/>
          <w:szCs w:val="24"/>
        </w:rPr>
      </w:pPr>
      <w:bookmarkStart w:id="148" w:name="_Toc19378"/>
      <w:r>
        <w:rPr>
          <w:rFonts w:ascii="Times New Roman" w:hAnsi="Times New Roman" w:cs="Times New Roman"/>
          <w:b/>
          <w:bCs/>
          <w:color w:val="000000" w:themeColor="text1"/>
          <w:kern w:val="44"/>
          <w:sz w:val="24"/>
          <w:szCs w:val="24"/>
        </w:rPr>
        <w:t>2.2自然环境概况</w:t>
      </w:r>
      <w:bookmarkEnd w:id="141"/>
      <w:bookmarkEnd w:id="142"/>
      <w:bookmarkEnd w:id="143"/>
      <w:bookmarkEnd w:id="144"/>
      <w:bookmarkEnd w:id="145"/>
      <w:bookmarkEnd w:id="146"/>
      <w:bookmarkEnd w:id="147"/>
      <w:bookmarkEnd w:id="148"/>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149" w:name="_Toc23328"/>
      <w:bookmarkStart w:id="150" w:name="_Toc30056_WPSOffice_Level3"/>
      <w:bookmarkStart w:id="151" w:name="_Toc4443_WPSOffice_Level3"/>
      <w:bookmarkStart w:id="152" w:name="_Toc532817013"/>
      <w:bookmarkStart w:id="153" w:name="_Toc21755_WPSOffice_Level3"/>
      <w:bookmarkStart w:id="154" w:name="_Toc18784_WPSOffice_Level3"/>
      <w:bookmarkStart w:id="155" w:name="_Toc7948_WPSOffice_Level3"/>
      <w:bookmarkStart w:id="156" w:name="_Toc29161"/>
      <w:r>
        <w:rPr>
          <w:rFonts w:ascii="Times New Roman" w:hAnsi="Times New Roman" w:cs="Times New Roman"/>
          <w:b/>
          <w:bCs/>
          <w:color w:val="000000" w:themeColor="text1"/>
          <w:kern w:val="44"/>
          <w:sz w:val="24"/>
          <w:szCs w:val="24"/>
        </w:rPr>
        <w:t>2.2.1地理位置</w:t>
      </w:r>
      <w:bookmarkEnd w:id="149"/>
      <w:bookmarkEnd w:id="150"/>
      <w:bookmarkEnd w:id="151"/>
      <w:bookmarkEnd w:id="152"/>
      <w:bookmarkEnd w:id="153"/>
      <w:bookmarkEnd w:id="154"/>
      <w:bookmarkEnd w:id="155"/>
      <w:bookmarkEnd w:id="156"/>
    </w:p>
    <w:p>
      <w:pPr>
        <w:widowControl/>
        <w:spacing w:line="360" w:lineRule="auto"/>
        <w:ind w:firstLine="360" w:firstLineChars="150"/>
        <w:rPr>
          <w:rFonts w:hint="eastAsia" w:ascii="Times New Roman" w:hAnsi="Times New Roman" w:eastAsia="宋体" w:cs="Times New Roman"/>
          <w:sz w:val="24"/>
          <w:szCs w:val="20"/>
        </w:rPr>
      </w:pPr>
      <w:r>
        <w:rPr>
          <w:rFonts w:hint="eastAsia" w:ascii="Times New Roman" w:hAnsi="Times New Roman" w:cs="Times New Roman"/>
          <w:color w:val="000000" w:themeColor="text1"/>
          <w:sz w:val="24"/>
          <w:szCs w:val="24"/>
          <w:lang w:val="en-US" w:eastAsia="zh-CN"/>
        </w:rPr>
        <w:t>南昌市位于东经115°27′-116°35′，北纬</w:t>
      </w:r>
      <w:r>
        <w:rPr>
          <w:rFonts w:hint="default" w:ascii="Times New Roman" w:hAnsi="Times New Roman" w:cs="Times New Roman"/>
          <w:color w:val="000000" w:themeColor="text1"/>
          <w:sz w:val="24"/>
          <w:szCs w:val="24"/>
          <w:lang w:val="en-US" w:eastAsia="zh-CN"/>
        </w:rPr>
        <w:t>28°09′-29°11′</w:t>
      </w:r>
      <w:r>
        <w:rPr>
          <w:rFonts w:hint="eastAsia" w:ascii="Times New Roman" w:hAnsi="Times New Roman" w:cs="Times New Roman"/>
          <w:color w:val="000000" w:themeColor="text1"/>
          <w:sz w:val="24"/>
          <w:szCs w:val="24"/>
          <w:lang w:val="en-US" w:eastAsia="zh-CN"/>
        </w:rPr>
        <w:t>，处江西省中部偏北，赣江、抚</w:t>
      </w:r>
      <w:r>
        <w:rPr>
          <w:rFonts w:hint="eastAsia" w:ascii="Times New Roman" w:hAnsi="Times New Roman" w:eastAsia="宋体" w:cs="Times New Roman"/>
          <w:sz w:val="24"/>
          <w:szCs w:val="20"/>
          <w:lang w:val="en-US" w:eastAsia="zh-CN"/>
        </w:rPr>
        <w:t>河下游，滨临我国第一大淡水湖鄱阳湖。全境以平原为主，东南平坦，西北丘陵起伏，长约</w:t>
      </w:r>
      <w:r>
        <w:rPr>
          <w:rFonts w:hint="default" w:ascii="Times New Roman" w:hAnsi="Times New Roman" w:eastAsia="宋体" w:cs="Times New Roman"/>
          <w:sz w:val="24"/>
          <w:szCs w:val="20"/>
          <w:lang w:val="en-US" w:eastAsia="zh-CN"/>
        </w:rPr>
        <w:t>112.1</w:t>
      </w:r>
      <w:r>
        <w:rPr>
          <w:rFonts w:hint="eastAsia" w:ascii="Times New Roman" w:hAnsi="Times New Roman" w:eastAsia="宋体" w:cs="Times New Roman"/>
          <w:sz w:val="24"/>
          <w:szCs w:val="20"/>
          <w:lang w:val="en-US" w:eastAsia="zh-CN"/>
        </w:rPr>
        <w:t>公里，东西宽约</w:t>
      </w:r>
      <w:r>
        <w:rPr>
          <w:rFonts w:hint="default" w:ascii="Times New Roman" w:hAnsi="Times New Roman" w:eastAsia="宋体" w:cs="Times New Roman"/>
          <w:sz w:val="24"/>
          <w:szCs w:val="20"/>
          <w:lang w:val="en-US" w:eastAsia="zh-CN"/>
        </w:rPr>
        <w:t>107.6</w:t>
      </w:r>
      <w:r>
        <w:rPr>
          <w:rFonts w:hint="eastAsia" w:ascii="Times New Roman" w:hAnsi="Times New Roman" w:eastAsia="宋体" w:cs="Times New Roman"/>
          <w:sz w:val="24"/>
          <w:szCs w:val="20"/>
          <w:lang w:val="en-US" w:eastAsia="zh-CN"/>
        </w:rPr>
        <w:t>公里。总面积</w:t>
      </w:r>
      <w:r>
        <w:rPr>
          <w:rFonts w:hint="default" w:ascii="Times New Roman" w:hAnsi="Times New Roman" w:eastAsia="宋体" w:cs="Times New Roman"/>
          <w:sz w:val="24"/>
          <w:szCs w:val="20"/>
          <w:lang w:val="en-US" w:eastAsia="zh-CN"/>
        </w:rPr>
        <w:t>7402.36</w:t>
      </w:r>
      <w:r>
        <w:rPr>
          <w:rFonts w:hint="eastAsia" w:ascii="Times New Roman" w:hAnsi="Times New Roman" w:eastAsia="宋体" w:cs="Times New Roman"/>
          <w:sz w:val="24"/>
          <w:szCs w:val="20"/>
          <w:lang w:val="en-US" w:eastAsia="zh-CN"/>
        </w:rPr>
        <w:t>平方公里，平原占</w:t>
      </w:r>
      <w:r>
        <w:rPr>
          <w:rFonts w:hint="default" w:ascii="Times New Roman" w:hAnsi="Times New Roman" w:eastAsia="宋体" w:cs="Times New Roman"/>
          <w:sz w:val="24"/>
          <w:szCs w:val="20"/>
          <w:lang w:val="en-US" w:eastAsia="zh-CN"/>
        </w:rPr>
        <w:t>35.8%</w:t>
      </w:r>
      <w:r>
        <w:rPr>
          <w:rFonts w:hint="eastAsia" w:ascii="Times New Roman" w:hAnsi="Times New Roman" w:eastAsia="宋体" w:cs="Times New Roman"/>
          <w:sz w:val="24"/>
          <w:szCs w:val="20"/>
          <w:lang w:val="en-US" w:eastAsia="zh-CN"/>
        </w:rPr>
        <w:t>，水域占</w:t>
      </w:r>
      <w:r>
        <w:rPr>
          <w:rFonts w:hint="default" w:ascii="Times New Roman" w:hAnsi="Times New Roman" w:eastAsia="宋体" w:cs="Times New Roman"/>
          <w:sz w:val="24"/>
          <w:szCs w:val="20"/>
          <w:lang w:val="en-US" w:eastAsia="zh-CN"/>
        </w:rPr>
        <w:t>29.8%</w:t>
      </w:r>
      <w:r>
        <w:rPr>
          <w:rFonts w:hint="eastAsia" w:ascii="Times New Roman" w:hAnsi="Times New Roman" w:eastAsia="宋体" w:cs="Times New Roman"/>
          <w:sz w:val="24"/>
          <w:szCs w:val="20"/>
          <w:lang w:val="en-US" w:eastAsia="zh-CN"/>
        </w:rPr>
        <w:t>，岗地、低丘占</w:t>
      </w:r>
      <w:r>
        <w:rPr>
          <w:rFonts w:hint="default" w:ascii="Times New Roman" w:hAnsi="Times New Roman" w:eastAsia="宋体" w:cs="Times New Roman"/>
          <w:sz w:val="24"/>
          <w:szCs w:val="20"/>
          <w:lang w:val="en-US" w:eastAsia="zh-CN"/>
        </w:rPr>
        <w:t>34.4%</w:t>
      </w:r>
      <w:r>
        <w:rPr>
          <w:rFonts w:hint="eastAsia" w:ascii="Times New Roman" w:hAnsi="Times New Roman" w:eastAsia="宋体" w:cs="Times New Roman"/>
          <w:sz w:val="24"/>
          <w:szCs w:val="20"/>
          <w:lang w:val="en-US" w:eastAsia="zh-CN"/>
        </w:rPr>
        <w:t>。全市平均海拔</w:t>
      </w:r>
      <w:r>
        <w:rPr>
          <w:rFonts w:hint="default" w:ascii="Times New Roman" w:hAnsi="Times New Roman" w:eastAsia="宋体" w:cs="Times New Roman"/>
          <w:sz w:val="24"/>
          <w:szCs w:val="20"/>
          <w:lang w:val="en-US" w:eastAsia="zh-CN"/>
        </w:rPr>
        <w:t>25</w:t>
      </w:r>
      <w:r>
        <w:rPr>
          <w:rFonts w:hint="eastAsia" w:ascii="Times New Roman" w:hAnsi="Times New Roman" w:eastAsia="宋体" w:cs="Times New Roman"/>
          <w:sz w:val="24"/>
          <w:szCs w:val="20"/>
          <w:lang w:val="en-US" w:eastAsia="zh-CN"/>
        </w:rPr>
        <w:t>米，城区地势偏低洼，平均海拔</w:t>
      </w:r>
      <w:r>
        <w:rPr>
          <w:rFonts w:hint="default" w:ascii="Times New Roman" w:hAnsi="Times New Roman" w:eastAsia="宋体" w:cs="Times New Roman"/>
          <w:sz w:val="24"/>
          <w:szCs w:val="20"/>
          <w:lang w:val="en-US" w:eastAsia="zh-CN"/>
        </w:rPr>
        <w:t>22</w:t>
      </w:r>
      <w:r>
        <w:rPr>
          <w:rFonts w:hint="eastAsia" w:ascii="Times New Roman" w:hAnsi="Times New Roman" w:eastAsia="宋体" w:cs="Times New Roman"/>
          <w:sz w:val="24"/>
          <w:szCs w:val="20"/>
          <w:lang w:val="en-US" w:eastAsia="zh-CN"/>
        </w:rPr>
        <w:t>米。西部是西山山脉，最高点梅岭主峰洗药坞，海拔</w:t>
      </w:r>
      <w:r>
        <w:rPr>
          <w:rFonts w:hint="default" w:ascii="Times New Roman" w:hAnsi="Times New Roman" w:eastAsia="宋体" w:cs="Times New Roman"/>
          <w:sz w:val="24"/>
          <w:szCs w:val="20"/>
          <w:lang w:val="en-US" w:eastAsia="zh-CN"/>
        </w:rPr>
        <w:t>841.4</w:t>
      </w:r>
      <w:r>
        <w:rPr>
          <w:rFonts w:hint="eastAsia" w:ascii="Times New Roman" w:hAnsi="Times New Roman" w:eastAsia="宋体" w:cs="Times New Roman"/>
          <w:sz w:val="24"/>
          <w:szCs w:val="20"/>
          <w:lang w:val="en-US" w:eastAsia="zh-CN"/>
        </w:rPr>
        <w:t>米。南昌经济技术开发区地处南昌市昌北新城区的北缘，与南昌市老城区仅一江之隔，有新八一大桥、南昌大桥、赣江大桥与之相连。</w:t>
      </w:r>
      <w:r>
        <w:rPr>
          <w:rFonts w:hint="default" w:ascii="Times New Roman" w:hAnsi="Times New Roman" w:eastAsia="宋体" w:cs="Times New Roman"/>
          <w:sz w:val="24"/>
          <w:szCs w:val="20"/>
          <w:lang w:val="en-US" w:eastAsia="zh-CN"/>
        </w:rPr>
        <w:t>105</w:t>
      </w:r>
      <w:r>
        <w:rPr>
          <w:rFonts w:hint="eastAsia" w:ascii="Times New Roman" w:hAnsi="Times New Roman" w:eastAsia="宋体" w:cs="Times New Roman"/>
          <w:sz w:val="24"/>
          <w:szCs w:val="20"/>
          <w:lang w:val="en-US" w:eastAsia="zh-CN"/>
        </w:rPr>
        <w:t>国道、</w:t>
      </w:r>
      <w:r>
        <w:rPr>
          <w:rFonts w:hint="default" w:ascii="Times New Roman" w:hAnsi="Times New Roman" w:eastAsia="宋体" w:cs="Times New Roman"/>
          <w:sz w:val="24"/>
          <w:szCs w:val="20"/>
          <w:lang w:val="en-US" w:eastAsia="zh-CN"/>
        </w:rPr>
        <w:t>320</w:t>
      </w:r>
      <w:r>
        <w:rPr>
          <w:rFonts w:hint="eastAsia" w:ascii="Times New Roman" w:hAnsi="Times New Roman" w:eastAsia="宋体" w:cs="Times New Roman"/>
          <w:sz w:val="24"/>
          <w:szCs w:val="20"/>
          <w:lang w:val="en-US" w:eastAsia="zh-CN"/>
        </w:rPr>
        <w:t>国道、</w:t>
      </w:r>
      <w:r>
        <w:rPr>
          <w:rFonts w:hint="default" w:ascii="Times New Roman" w:hAnsi="Times New Roman" w:eastAsia="宋体" w:cs="Times New Roman"/>
          <w:sz w:val="24"/>
          <w:szCs w:val="20"/>
          <w:lang w:val="en-US" w:eastAsia="zh-CN"/>
        </w:rPr>
        <w:t>316</w:t>
      </w:r>
      <w:r>
        <w:rPr>
          <w:rFonts w:hint="eastAsia" w:ascii="Times New Roman" w:hAnsi="Times New Roman" w:eastAsia="宋体" w:cs="Times New Roman"/>
          <w:sz w:val="24"/>
          <w:szCs w:val="20"/>
          <w:lang w:val="en-US" w:eastAsia="zh-CN"/>
        </w:rPr>
        <w:t>国道交汇于开发区，昌九、昌樟高速公路横贯开发区；京九铁路在开发区建有客运、货运站，昌北新机场距开发区仅</w:t>
      </w:r>
      <w:r>
        <w:rPr>
          <w:rFonts w:hint="default" w:ascii="Times New Roman" w:hAnsi="Times New Roman" w:eastAsia="宋体" w:cs="Times New Roman"/>
          <w:sz w:val="24"/>
          <w:szCs w:val="20"/>
          <w:lang w:val="en-US" w:eastAsia="zh-CN"/>
        </w:rPr>
        <w:t>15</w:t>
      </w:r>
      <w:r>
        <w:rPr>
          <w:rFonts w:hint="eastAsia" w:ascii="Times New Roman" w:hAnsi="Times New Roman" w:eastAsia="宋体" w:cs="Times New Roman"/>
          <w:sz w:val="24"/>
          <w:szCs w:val="20"/>
          <w:lang w:val="en-US" w:eastAsia="zh-CN"/>
        </w:rPr>
        <w:t>分钟车程。</w:t>
      </w:r>
    </w:p>
    <w:p>
      <w:pPr>
        <w:widowControl/>
        <w:spacing w:line="360" w:lineRule="auto"/>
        <w:ind w:firstLine="360" w:firstLineChars="150"/>
        <w:rPr>
          <w:rFonts w:ascii="Times New Roman" w:hAnsi="Times New Roman" w:cs="Times New Roman"/>
          <w:color w:val="000000" w:themeColor="text1"/>
          <w:sz w:val="24"/>
          <w:szCs w:val="24"/>
        </w:rPr>
      </w:pPr>
      <w:r>
        <w:rPr>
          <w:rFonts w:hint="eastAsia" w:ascii="Times New Roman" w:hAnsi="Times New Roman" w:eastAsia="宋体" w:cs="Times New Roman"/>
          <w:sz w:val="24"/>
          <w:szCs w:val="20"/>
        </w:rPr>
        <w:t>项目位于</w:t>
      </w:r>
      <w:r>
        <w:rPr>
          <w:rFonts w:hint="eastAsia" w:asciiTheme="minorEastAsia" w:hAnsiTheme="minorEastAsia" w:eastAsiaTheme="minorEastAsia" w:cstheme="minorEastAsia"/>
          <w:color w:val="000000"/>
          <w:sz w:val="24"/>
          <w:szCs w:val="24"/>
        </w:rPr>
        <w:t>江西省南昌市</w:t>
      </w:r>
      <w:r>
        <w:rPr>
          <w:rStyle w:val="36"/>
          <w:rFonts w:hint="eastAsia" w:asciiTheme="minorEastAsia" w:hAnsiTheme="minorEastAsia" w:eastAsiaTheme="minorEastAsia" w:cstheme="minorEastAsia"/>
          <w:kern w:val="0"/>
          <w:sz w:val="24"/>
          <w:szCs w:val="24"/>
        </w:rPr>
        <w:t>双港大道与庐山大道交汇处</w:t>
      </w:r>
      <w:r>
        <w:rPr>
          <w:rFonts w:hint="eastAsia" w:ascii="Times New Roman" w:hAnsi="Times New Roman" w:eastAsia="宋体" w:cs="Times New Roman"/>
          <w:sz w:val="24"/>
          <w:szCs w:val="20"/>
        </w:rPr>
        <w:t>，</w:t>
      </w:r>
      <w:r>
        <w:rPr>
          <w:rFonts w:hint="eastAsia" w:ascii="Times New Roman" w:hAnsi="Times New Roman" w:eastAsia="宋体" w:cs="Times New Roman"/>
          <w:sz w:val="24"/>
          <w:szCs w:val="24"/>
        </w:rPr>
        <w:t>地理坐标为</w:t>
      </w:r>
      <w:r>
        <w:rPr>
          <w:rFonts w:hint="eastAsia" w:cs="Times New Roman" w:eastAsiaTheme="minorEastAsia"/>
          <w:bCs/>
          <w:sz w:val="24"/>
          <w:szCs w:val="24"/>
          <w:lang w:val="en-US" w:eastAsia="zh-CN"/>
        </w:rPr>
        <w:t>北纬</w:t>
      </w:r>
      <w:r>
        <w:rPr>
          <w:rStyle w:val="36"/>
          <w:rFonts w:hint="default" w:ascii="Times New Roman" w:hAnsi="Times New Roman" w:cs="Times New Roman"/>
          <w:kern w:val="0"/>
          <w:sz w:val="24"/>
          <w:szCs w:val="24"/>
        </w:rPr>
        <w:t>N29°34′17″</w:t>
      </w:r>
      <w:r>
        <w:rPr>
          <w:rStyle w:val="36"/>
          <w:rFonts w:hint="default" w:ascii="Times New Roman" w:hAnsi="Times New Roman" w:cs="Times New Roman"/>
          <w:kern w:val="0"/>
          <w:sz w:val="24"/>
          <w:szCs w:val="24"/>
          <w:lang w:eastAsia="zh-CN"/>
        </w:rPr>
        <w:t>，</w:t>
      </w:r>
      <w:r>
        <w:rPr>
          <w:rStyle w:val="36"/>
          <w:rFonts w:hint="eastAsia" w:asciiTheme="minorEastAsia" w:hAnsiTheme="minorEastAsia" w:eastAsiaTheme="minorEastAsia" w:cstheme="minorEastAsia"/>
          <w:kern w:val="0"/>
          <w:sz w:val="24"/>
          <w:szCs w:val="24"/>
        </w:rPr>
        <w:t>东经</w:t>
      </w:r>
      <w:r>
        <w:rPr>
          <w:rStyle w:val="36"/>
          <w:rFonts w:hint="default" w:ascii="Times New Roman" w:hAnsi="Times New Roman" w:cs="Times New Roman"/>
          <w:kern w:val="0"/>
          <w:sz w:val="24"/>
          <w:szCs w:val="24"/>
        </w:rPr>
        <w:t>E118°49′21″</w:t>
      </w:r>
      <w:r>
        <w:rPr>
          <w:rFonts w:hint="eastAsia" w:ascii="Times New Roman" w:hAnsi="Times New Roman" w:eastAsia="宋体" w:cs="Times New Roman"/>
          <w:sz w:val="24"/>
          <w:szCs w:val="20"/>
        </w:rPr>
        <w:t>，</w:t>
      </w:r>
      <w:r>
        <w:rPr>
          <w:rFonts w:hint="eastAsia" w:ascii="Times New Roman" w:hAnsi="Times New Roman" w:eastAsia="宋体" w:cs="Times New Roman"/>
          <w:sz w:val="24"/>
          <w:szCs w:val="20"/>
          <w:lang w:val="en-US" w:eastAsia="zh-CN"/>
        </w:rPr>
        <w:t>南</w:t>
      </w:r>
      <w:r>
        <w:rPr>
          <w:sz w:val="24"/>
          <w:szCs w:val="24"/>
        </w:rPr>
        <w:t>侧紧邻向</w:t>
      </w:r>
      <w:r>
        <w:rPr>
          <w:rFonts w:hint="eastAsia"/>
          <w:sz w:val="24"/>
          <w:szCs w:val="24"/>
          <w:lang w:val="en-US" w:eastAsia="zh-CN"/>
        </w:rPr>
        <w:t>双港西大街</w:t>
      </w:r>
      <w:r>
        <w:rPr>
          <w:sz w:val="24"/>
          <w:szCs w:val="24"/>
        </w:rPr>
        <w:t>，</w:t>
      </w:r>
      <w:r>
        <w:rPr>
          <w:rFonts w:hint="eastAsia"/>
          <w:sz w:val="24"/>
          <w:szCs w:val="24"/>
          <w:lang w:val="en-US" w:eastAsia="zh-CN"/>
        </w:rPr>
        <w:t>北侧、东侧和西侧均为商住居民区</w:t>
      </w:r>
      <w:r>
        <w:rPr>
          <w:rFonts w:hint="eastAsia" w:ascii="Times New Roman" w:hAnsi="Times New Roman" w:eastAsia="宋体" w:cs="Times New Roman"/>
          <w:sz w:val="24"/>
          <w:szCs w:val="20"/>
        </w:rPr>
        <w:t>。</w:t>
      </w:r>
      <w:r>
        <w:rPr>
          <w:rFonts w:ascii="Times New Roman" w:hAnsi="Times New Roman" w:cs="Times New Roman"/>
          <w:color w:val="000000" w:themeColor="text1"/>
          <w:sz w:val="24"/>
          <w:szCs w:val="24"/>
        </w:rPr>
        <w:t>项目地理位置详见图2-1。</w:t>
      </w:r>
    </w:p>
    <w:p>
      <w:pPr>
        <w:pStyle w:val="17"/>
        <w:jc w:val="center"/>
      </w:pPr>
      <w:r>
        <w:pict>
          <v:shape id="对话气泡: 圆角矩形 36" o:spid="_x0000_s2078" o:spt="62" type="#_x0000_t62" style="position:absolute;left:0pt;margin-left:222.8pt;margin-top:130.55pt;height:27.75pt;width:77.25pt;z-index:251687936;v-text-anchor:middle;mso-width-relative:page;mso-height-relative:page;" fillcolor="#FFFFFF" filled="t" stroked="t" coordsize="21600,21600" o:gfxdata="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FnftvdkAAAALAQAADwAAAAAAAAABACAAAAAiAAAA&#10;ZHJzL2Rvd25yZXYueG1sUEsBAhQAFAAAAAgAh07iQKBwh2WxAgAANwUAAA4AAAAAAAAAAQAgAAAA&#10;KAEAAGRycy9lMm9Eb2MueG1sUEsFBgAAAAAGAAYAWQEAAEsGAAAAAA==&#10;" adj="1723,42814,14400">
            <v:path/>
            <v:fill on="t" focussize="0,0"/>
            <v:stroke weight="2pt" color="#C0504D" joinstyle="round"/>
            <v:imagedata o:title=""/>
            <o:lock v:ext="edit"/>
            <v:textbox>
              <w:txbxContent>
                <w:p>
                  <w:pPr>
                    <w:jc w:val="center"/>
                  </w:pPr>
                  <w:r>
                    <w:rPr>
                      <w:rFonts w:hint="eastAsia"/>
                    </w:rPr>
                    <w:t>项目所在地</w:t>
                  </w:r>
                </w:p>
              </w:txbxContent>
            </v:textbox>
          </v:shape>
        </w:pict>
      </w:r>
      <w:r>
        <w:rPr>
          <w:rFonts w:hint="eastAsia" w:ascii="Times New Roman" w:hAnsi="Times New Roman" w:eastAsia="宋体" w:cs="Times New Roman"/>
          <w:sz w:val="24"/>
          <w:szCs w:val="20"/>
        </w:rPr>
        <w:drawing>
          <wp:anchor distT="0" distB="0" distL="114300" distR="114300" simplePos="0" relativeHeight="251684864" behindDoc="0" locked="0" layoutInCell="1" allowOverlap="1">
            <wp:simplePos x="0" y="0"/>
            <wp:positionH relativeFrom="column">
              <wp:posOffset>5372100</wp:posOffset>
            </wp:positionH>
            <wp:positionV relativeFrom="paragraph">
              <wp:posOffset>26035</wp:posOffset>
            </wp:positionV>
            <wp:extent cx="904875" cy="862330"/>
            <wp:effectExtent l="0" t="0" r="0" b="0"/>
            <wp:wrapNone/>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904875" cy="862459"/>
                    </a:xfrm>
                    <a:prstGeom prst="rect">
                      <a:avLst/>
                    </a:prstGeom>
                    <a:noFill/>
                    <a:ln>
                      <a:noFill/>
                    </a:ln>
                  </pic:spPr>
                </pic:pic>
              </a:graphicData>
            </a:graphic>
          </wp:anchor>
        </w:drawing>
      </w:r>
      <w:r>
        <w:drawing>
          <wp:inline distT="0" distB="0" distL="114935" distR="114935">
            <wp:extent cx="6293485" cy="4856480"/>
            <wp:effectExtent l="0" t="0" r="635" b="508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9"/>
                    <a:stretch>
                      <a:fillRect/>
                    </a:stretch>
                  </pic:blipFill>
                  <pic:spPr>
                    <a:xfrm>
                      <a:off x="0" y="0"/>
                      <a:ext cx="6293485" cy="4856480"/>
                    </a:xfrm>
                    <a:prstGeom prst="rect">
                      <a:avLst/>
                    </a:prstGeom>
                    <a:noFill/>
                    <a:ln>
                      <a:noFill/>
                    </a:ln>
                  </pic:spPr>
                </pic:pic>
              </a:graphicData>
            </a:graphic>
          </wp:inline>
        </w:drawing>
      </w:r>
    </w:p>
    <w:p>
      <w:pPr>
        <w:contextualSpacing/>
        <w:rPr>
          <w:rFonts w:ascii="Times New Roman" w:hAnsi="Times New Roman" w:cs="Times New Roman"/>
          <w:b/>
          <w:bCs/>
          <w:color w:val="000000" w:themeColor="text1"/>
          <w:sz w:val="24"/>
          <w:szCs w:val="24"/>
        </w:rPr>
      </w:pPr>
    </w:p>
    <w:p>
      <w:pPr>
        <w:overflowPunct w:val="0"/>
        <w:topLinePunct/>
        <w:spacing w:line="360" w:lineRule="auto"/>
        <w:jc w:val="center"/>
        <w:rPr>
          <w:rFonts w:ascii="Times New Roman" w:hAnsi="Times New Roman" w:cs="Times New Roman"/>
          <w:b/>
          <w:bCs/>
          <w:color w:val="000000" w:themeColor="text1"/>
          <w:spacing w:val="4"/>
          <w:sz w:val="24"/>
          <w:szCs w:val="24"/>
        </w:rPr>
      </w:pPr>
      <w:bookmarkStart w:id="157" w:name="_Toc1226_WPSOffice_Level3"/>
      <w:bookmarkStart w:id="158" w:name="_Toc9242_WPSOffice_Level3"/>
      <w:bookmarkStart w:id="159" w:name="_Toc29593_WPSOffice_Level3"/>
      <w:bookmarkStart w:id="160" w:name="_Toc11689_WPSOffice_Level3"/>
      <w:bookmarkStart w:id="161" w:name="_Toc23231_WPSOffice_Level3"/>
      <w:r>
        <w:rPr>
          <w:rFonts w:ascii="Times New Roman" w:hAnsi="Times New Roman" w:cs="Times New Roman"/>
          <w:b/>
          <w:bCs/>
          <w:color w:val="000000" w:themeColor="text1"/>
          <w:spacing w:val="4"/>
          <w:sz w:val="24"/>
          <w:szCs w:val="24"/>
        </w:rPr>
        <w:t>图2-1 地理位置图</w:t>
      </w:r>
      <w:bookmarkEnd w:id="157"/>
      <w:bookmarkEnd w:id="158"/>
      <w:bookmarkEnd w:id="159"/>
      <w:bookmarkEnd w:id="160"/>
      <w:bookmarkEnd w:id="161"/>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162" w:name="_Toc11889_WPSOffice_Level3"/>
      <w:bookmarkStart w:id="163" w:name="_Toc18959_WPSOffice_Level3"/>
      <w:bookmarkStart w:id="164" w:name="_Toc26587_WPSOffice_Level3"/>
      <w:bookmarkStart w:id="165" w:name="_Toc31580_WPSOffice_Level3"/>
      <w:bookmarkStart w:id="166" w:name="_Toc5341_WPSOffice_Level3"/>
      <w:bookmarkStart w:id="167" w:name="_Toc532817014"/>
      <w:bookmarkStart w:id="168" w:name="_Toc16198"/>
      <w:bookmarkStart w:id="169" w:name="_Toc10003"/>
      <w:r>
        <w:rPr>
          <w:rFonts w:ascii="Times New Roman" w:hAnsi="Times New Roman" w:cs="Times New Roman"/>
          <w:b/>
          <w:bCs/>
          <w:color w:val="000000" w:themeColor="text1"/>
          <w:kern w:val="44"/>
          <w:sz w:val="24"/>
          <w:szCs w:val="24"/>
        </w:rPr>
        <w:t>2.2.2自然条件</w:t>
      </w:r>
      <w:bookmarkEnd w:id="162"/>
      <w:bookmarkEnd w:id="163"/>
      <w:bookmarkEnd w:id="164"/>
      <w:bookmarkEnd w:id="165"/>
      <w:bookmarkEnd w:id="166"/>
      <w:bookmarkEnd w:id="167"/>
      <w:bookmarkEnd w:id="168"/>
      <w:bookmarkEnd w:id="169"/>
    </w:p>
    <w:p>
      <w:pPr>
        <w:overflowPunct w:val="0"/>
        <w:topLinePunct/>
        <w:spacing w:line="500" w:lineRule="exact"/>
        <w:ind w:left="420" w:leftChars="200"/>
        <w:rPr>
          <w:rFonts w:ascii="Times New Roman" w:hAnsi="Times New Roman" w:cs="Times New Roman"/>
          <w:b/>
          <w:bCs/>
          <w:color w:val="000000" w:themeColor="text1"/>
          <w:spacing w:val="4"/>
          <w:sz w:val="24"/>
          <w:szCs w:val="24"/>
        </w:rPr>
      </w:pPr>
      <w:r>
        <w:rPr>
          <w:rFonts w:ascii="Times New Roman" w:hAnsi="Times New Roman" w:cs="Times New Roman"/>
          <w:b/>
          <w:bCs/>
          <w:color w:val="000000" w:themeColor="text1"/>
          <w:spacing w:val="4"/>
          <w:sz w:val="24"/>
          <w:szCs w:val="24"/>
        </w:rPr>
        <w:t>（1）气象条件</w:t>
      </w:r>
    </w:p>
    <w:p>
      <w:pPr>
        <w:overflowPunct w:val="0"/>
        <w:topLinePunct/>
        <w:spacing w:line="500" w:lineRule="exact"/>
        <w:ind w:firstLine="480" w:firstLineChars="200"/>
        <w:rPr>
          <w:rFonts w:hint="eastAsia" w:ascii="Times New Roman" w:hAnsi="Times New Roman" w:cs="Times New Roman"/>
          <w:color w:val="000000" w:themeColor="text1"/>
          <w:sz w:val="24"/>
          <w:szCs w:val="24"/>
        </w:rPr>
      </w:pPr>
      <w:r>
        <w:rPr>
          <w:rFonts w:hint="eastAsia" w:ascii="宋体" w:hAnsi="宋体" w:eastAsia="宋体" w:cs="宋体"/>
          <w:color w:val="000000"/>
          <w:kern w:val="0"/>
          <w:sz w:val="24"/>
          <w:szCs w:val="24"/>
          <w:lang w:val="en-US" w:eastAsia="zh-CN" w:bidi="ar"/>
        </w:rPr>
        <w:t>南</w:t>
      </w:r>
      <w:r>
        <w:rPr>
          <w:rFonts w:hint="eastAsia" w:ascii="Times New Roman" w:hAnsi="Times New Roman" w:cs="Times New Roman"/>
          <w:color w:val="000000" w:themeColor="text1"/>
          <w:sz w:val="24"/>
          <w:szCs w:val="24"/>
          <w:lang w:val="en-US" w:eastAsia="zh-CN"/>
        </w:rPr>
        <w:t>昌市属于亚热带湿润季风气候，气候湿润温和，日照充足，一年中夏冬季长，春秋季短。南昌市是“夏炎冬寒</w:t>
      </w:r>
      <w:r>
        <w:rPr>
          <w:rFonts w:hint="default" w:ascii="Times New Roman" w:hAnsi="Times New Roman" w:cs="Times New Roman"/>
          <w:color w:val="000000" w:themeColor="text1"/>
          <w:sz w:val="24"/>
          <w:szCs w:val="24"/>
          <w:lang w:val="en-US" w:eastAsia="zh-CN"/>
        </w:rPr>
        <w:t>”</w:t>
      </w:r>
      <w:r>
        <w:rPr>
          <w:rFonts w:hint="eastAsia" w:ascii="Times New Roman" w:hAnsi="Times New Roman" w:cs="Times New Roman"/>
          <w:color w:val="000000" w:themeColor="text1"/>
          <w:sz w:val="24"/>
          <w:szCs w:val="24"/>
          <w:lang w:val="en-US" w:eastAsia="zh-CN"/>
        </w:rPr>
        <w:t>的典型城市，夏天炎热，有火炉之称；冬天较寒冷。年平均气温</w:t>
      </w:r>
      <w:r>
        <w:rPr>
          <w:rFonts w:hint="default" w:ascii="Times New Roman" w:hAnsi="Times New Roman" w:cs="Times New Roman"/>
          <w:color w:val="000000" w:themeColor="text1"/>
          <w:sz w:val="24"/>
          <w:szCs w:val="24"/>
          <w:lang w:val="en-US" w:eastAsia="zh-CN"/>
        </w:rPr>
        <w:t>17</w:t>
      </w:r>
      <w:r>
        <w:rPr>
          <w:rFonts w:hint="eastAsia" w:ascii="Times New Roman" w:hAnsi="Times New Roman" w:cs="Times New Roman"/>
          <w:color w:val="000000" w:themeColor="text1"/>
          <w:sz w:val="24"/>
          <w:szCs w:val="24"/>
          <w:lang w:val="en-US" w:eastAsia="zh-CN"/>
        </w:rPr>
        <w:t>℃</w:t>
      </w:r>
      <w:r>
        <w:rPr>
          <w:rFonts w:hint="default" w:ascii="Times New Roman" w:hAnsi="Times New Roman" w:cs="Times New Roman"/>
          <w:color w:val="000000" w:themeColor="text1"/>
          <w:sz w:val="24"/>
          <w:szCs w:val="24"/>
          <w:lang w:val="en-US" w:eastAsia="zh-CN"/>
        </w:rPr>
        <w:t>-17.7</w:t>
      </w:r>
      <w:r>
        <w:rPr>
          <w:rFonts w:hint="eastAsia" w:ascii="Times New Roman" w:hAnsi="Times New Roman" w:cs="Times New Roman"/>
          <w:color w:val="000000" w:themeColor="text1"/>
          <w:sz w:val="24"/>
          <w:szCs w:val="24"/>
          <w:lang w:val="en-US" w:eastAsia="zh-CN"/>
        </w:rPr>
        <w:t>℃，极端历史最高气温</w:t>
      </w:r>
      <w:r>
        <w:rPr>
          <w:rFonts w:hint="default" w:ascii="Times New Roman" w:hAnsi="Times New Roman" w:cs="Times New Roman"/>
          <w:color w:val="000000" w:themeColor="text1"/>
          <w:sz w:val="24"/>
          <w:szCs w:val="24"/>
          <w:lang w:val="en-US" w:eastAsia="zh-CN"/>
        </w:rPr>
        <w:t>,40.9</w:t>
      </w:r>
      <w:r>
        <w:rPr>
          <w:rFonts w:hint="eastAsia" w:ascii="Times New Roman" w:hAnsi="Times New Roman" w:cs="Times New Roman"/>
          <w:color w:val="000000" w:themeColor="text1"/>
          <w:sz w:val="24"/>
          <w:szCs w:val="24"/>
          <w:lang w:val="en-US" w:eastAsia="zh-CN"/>
        </w:rPr>
        <w:t>℃</w:t>
      </w:r>
      <w:r>
        <w:rPr>
          <w:rFonts w:hint="default" w:ascii="Times New Roman" w:hAnsi="Times New Roman" w:cs="Times New Roman"/>
          <w:color w:val="000000" w:themeColor="text1"/>
          <w:sz w:val="24"/>
          <w:szCs w:val="24"/>
          <w:lang w:val="en-US" w:eastAsia="zh-CN"/>
        </w:rPr>
        <w:t>,</w:t>
      </w:r>
      <w:r>
        <w:rPr>
          <w:rFonts w:hint="eastAsia" w:ascii="Times New Roman" w:hAnsi="Times New Roman" w:cs="Times New Roman"/>
          <w:color w:val="000000" w:themeColor="text1"/>
          <w:sz w:val="24"/>
          <w:szCs w:val="24"/>
          <w:lang w:val="en-US" w:eastAsia="zh-CN"/>
        </w:rPr>
        <w:t>极端历史最低气温</w:t>
      </w:r>
      <w:r>
        <w:rPr>
          <w:rFonts w:hint="default" w:ascii="Times New Roman" w:hAnsi="Times New Roman" w:cs="Times New Roman"/>
          <w:color w:val="000000" w:themeColor="text1"/>
          <w:sz w:val="24"/>
          <w:szCs w:val="24"/>
          <w:lang w:val="en-US" w:eastAsia="zh-CN"/>
        </w:rPr>
        <w:t>-15.2</w:t>
      </w:r>
      <w:r>
        <w:rPr>
          <w:rFonts w:hint="eastAsia" w:ascii="Times New Roman" w:hAnsi="Times New Roman" w:cs="Times New Roman"/>
          <w:color w:val="000000" w:themeColor="text1"/>
          <w:sz w:val="24"/>
          <w:szCs w:val="24"/>
          <w:lang w:val="en-US" w:eastAsia="zh-CN"/>
        </w:rPr>
        <w:t>℃。南昌市地处北半球亚热带内，受东亚季风影响，形成了亚热带季风气候。冬季多偏北风，夏季多偏南风。市内热量丰富、雨水充沛，光照充足，且作物生长旺季雨热匹配较好，为农业生产提供了有利气象条件，素有鱼米之乡的美誉。但是，由于每年季风强弱和进退迟早不同，气温变化较大，降水分布不均，高温干旱，低温降雪冷害和暴雨洪涝台风等气象灾害发生较频繁，给人们生产、生活带来不利影响。年降雨量</w:t>
      </w:r>
      <w:r>
        <w:rPr>
          <w:rFonts w:hint="default" w:ascii="Times New Roman" w:hAnsi="Times New Roman" w:cs="Times New Roman"/>
          <w:color w:val="000000" w:themeColor="text1"/>
          <w:sz w:val="24"/>
          <w:szCs w:val="24"/>
          <w:lang w:val="en-US" w:eastAsia="zh-CN"/>
        </w:rPr>
        <w:t>1600-1700</w:t>
      </w:r>
      <w:r>
        <w:rPr>
          <w:rFonts w:hint="eastAsia" w:ascii="Times New Roman" w:hAnsi="Times New Roman" w:cs="Times New Roman"/>
          <w:color w:val="000000" w:themeColor="text1"/>
          <w:sz w:val="24"/>
          <w:szCs w:val="24"/>
          <w:lang w:val="en-US" w:eastAsia="zh-CN"/>
        </w:rPr>
        <w:t>㎜，降水日为</w:t>
      </w:r>
      <w:r>
        <w:rPr>
          <w:rFonts w:hint="default" w:ascii="Times New Roman" w:hAnsi="Times New Roman" w:cs="Times New Roman"/>
          <w:color w:val="000000" w:themeColor="text1"/>
          <w:sz w:val="24"/>
          <w:szCs w:val="24"/>
          <w:lang w:val="en-US" w:eastAsia="zh-CN"/>
        </w:rPr>
        <w:t>147-157</w:t>
      </w:r>
      <w:r>
        <w:rPr>
          <w:rFonts w:hint="eastAsia" w:ascii="Times New Roman" w:hAnsi="Times New Roman" w:cs="Times New Roman"/>
          <w:color w:val="000000" w:themeColor="text1"/>
          <w:sz w:val="24"/>
          <w:szCs w:val="24"/>
          <w:lang w:val="en-US" w:eastAsia="zh-CN"/>
        </w:rPr>
        <w:t>天，年平均暴雨日</w:t>
      </w:r>
      <w:r>
        <w:rPr>
          <w:rFonts w:hint="default" w:ascii="Times New Roman" w:hAnsi="Times New Roman" w:cs="Times New Roman"/>
          <w:color w:val="000000" w:themeColor="text1"/>
          <w:sz w:val="24"/>
          <w:szCs w:val="24"/>
          <w:lang w:val="en-US" w:eastAsia="zh-CN"/>
        </w:rPr>
        <w:t>5.6</w:t>
      </w:r>
      <w:r>
        <w:rPr>
          <w:rFonts w:hint="eastAsia" w:ascii="Times New Roman" w:hAnsi="Times New Roman" w:cs="Times New Roman"/>
          <w:color w:val="000000" w:themeColor="text1"/>
          <w:sz w:val="24"/>
          <w:szCs w:val="24"/>
          <w:lang w:val="en-US" w:eastAsia="zh-CN"/>
        </w:rPr>
        <w:t>天，年平均相对湿度为</w:t>
      </w:r>
      <w:r>
        <w:rPr>
          <w:rFonts w:hint="default" w:ascii="Times New Roman" w:hAnsi="Times New Roman" w:cs="Times New Roman"/>
          <w:color w:val="000000" w:themeColor="text1"/>
          <w:sz w:val="24"/>
          <w:szCs w:val="24"/>
          <w:lang w:val="en-US" w:eastAsia="zh-CN"/>
        </w:rPr>
        <w:t>78.5%</w:t>
      </w:r>
      <w:r>
        <w:rPr>
          <w:rFonts w:hint="eastAsia" w:ascii="Times New Roman" w:hAnsi="Times New Roman" w:cs="Times New Roman"/>
          <w:color w:val="000000" w:themeColor="text1"/>
          <w:sz w:val="24"/>
          <w:szCs w:val="24"/>
          <w:lang w:val="en-US" w:eastAsia="zh-CN"/>
        </w:rPr>
        <w:t>。</w:t>
      </w:r>
    </w:p>
    <w:p>
      <w:pPr>
        <w:keepNext w:val="0"/>
        <w:keepLines w:val="0"/>
        <w:widowControl/>
        <w:suppressLineNumbers w:val="0"/>
        <w:jc w:val="left"/>
        <w:rPr>
          <w:rFonts w:ascii="Times New Roman" w:hAnsi="Times New Roman" w:cs="Times New Roman"/>
          <w:b/>
          <w:bCs/>
          <w:color w:val="000000" w:themeColor="text1"/>
          <w:spacing w:val="4"/>
          <w:sz w:val="24"/>
          <w:szCs w:val="24"/>
        </w:rPr>
      </w:pPr>
      <w:r>
        <w:rPr>
          <w:rFonts w:ascii="Times New Roman" w:hAnsi="Times New Roman" w:cs="Times New Roman"/>
          <w:b/>
          <w:bCs/>
          <w:color w:val="000000" w:themeColor="text1"/>
          <w:spacing w:val="4"/>
          <w:sz w:val="24"/>
          <w:szCs w:val="24"/>
        </w:rPr>
        <w:t>（2）</w:t>
      </w:r>
      <w:r>
        <w:rPr>
          <w:rFonts w:hint="eastAsia" w:ascii="宋体" w:hAnsi="宋体" w:eastAsia="宋体" w:cs="宋体"/>
          <w:b/>
          <w:bCs/>
          <w:color w:val="000000"/>
          <w:kern w:val="0"/>
          <w:sz w:val="24"/>
          <w:szCs w:val="24"/>
          <w:lang w:val="en-US" w:eastAsia="zh-CN" w:bidi="ar"/>
        </w:rPr>
        <w:t>地质</w:t>
      </w:r>
      <w:r>
        <w:rPr>
          <w:rFonts w:ascii="Times New Roman" w:hAnsi="Times New Roman" w:cs="Times New Roman"/>
          <w:b/>
          <w:bCs/>
          <w:color w:val="000000" w:themeColor="text1"/>
          <w:spacing w:val="4"/>
          <w:sz w:val="24"/>
          <w:szCs w:val="24"/>
        </w:rPr>
        <w:t>条件</w:t>
      </w:r>
    </w:p>
    <w:p>
      <w:pPr>
        <w:overflowPunct w:val="0"/>
        <w:topLinePunct/>
        <w:spacing w:line="500" w:lineRule="exact"/>
        <w:ind w:firstLine="480" w:firstLineChars="200"/>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南昌位于赣江、抚河尾闾，鄱阳湖南岸平原内。西北接九岭山地，东南依赣中南山地丘陵。全区地势低缓，西面及东南部地形较高，起伏较大，中部较低，平坦开阔。平原是南昌的主要地貌特征，兼有广阔的水域、岗地和低丘。南昌在地质构造上处于九岭山隆起和宫帽山隆起的过渡地带，宜春——乐平大断裂带的北缘。全区大部分地区处于东起进贤、西至新建的湖泊沉降区内。西部属湖西断升区范围，东部则在湖东斜隆区内，南临湖南缓隆区。</w:t>
      </w:r>
    </w:p>
    <w:p>
      <w:pPr>
        <w:overflowPunct w:val="0"/>
        <w:topLinePunct/>
        <w:spacing w:line="500" w:lineRule="exact"/>
        <w:ind w:firstLine="498" w:firstLineChars="200"/>
        <w:rPr>
          <w:rFonts w:ascii="Times New Roman" w:hAnsi="Times New Roman" w:cs="Times New Roman"/>
          <w:b/>
          <w:bCs/>
          <w:color w:val="000000" w:themeColor="text1"/>
          <w:spacing w:val="4"/>
          <w:sz w:val="24"/>
          <w:szCs w:val="24"/>
        </w:rPr>
      </w:pPr>
      <w:r>
        <w:rPr>
          <w:rFonts w:ascii="Times New Roman" w:hAnsi="Times New Roman" w:cs="Times New Roman"/>
          <w:b/>
          <w:bCs/>
          <w:color w:val="000000" w:themeColor="text1"/>
          <w:spacing w:val="4"/>
          <w:sz w:val="24"/>
          <w:szCs w:val="24"/>
        </w:rPr>
        <w:t>（3）水文</w:t>
      </w:r>
      <w:bookmarkStart w:id="170" w:name="_Toc5341_WPSOffice_Level2"/>
      <w:bookmarkStart w:id="171" w:name="_Toc11889_WPSOffice_Level2"/>
      <w:bookmarkStart w:id="172" w:name="_Toc18959_WPSOffice_Level2"/>
      <w:bookmarkStart w:id="173" w:name="_Toc26487"/>
      <w:bookmarkStart w:id="174" w:name="_Toc26587_WPSOffice_Level2"/>
      <w:bookmarkStart w:id="175" w:name="_Toc532817015"/>
      <w:bookmarkStart w:id="176" w:name="_Toc31580_WPSOffice_Level2"/>
    </w:p>
    <w:p>
      <w:pPr>
        <w:overflowPunct w:val="0"/>
        <w:topLinePunct/>
        <w:spacing w:line="500" w:lineRule="exact"/>
        <w:ind w:firstLine="480" w:firstLineChars="200"/>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赣江、抚河、锦江、潦河流经境内。有军山湖、金溪湖、青岚湖、瑶湖等数百个大小湖泊，以及市内东、西、南、北4个风景湖。西部梅岭山丘海拔</w:t>
      </w:r>
      <w:r>
        <w:rPr>
          <w:rFonts w:hint="default" w:ascii="宋体" w:hAnsi="宋体" w:eastAsia="宋体" w:cs="宋体"/>
          <w:color w:val="000000"/>
          <w:kern w:val="0"/>
          <w:sz w:val="24"/>
          <w:szCs w:val="24"/>
          <w:lang w:val="en-US" w:eastAsia="zh-CN" w:bidi="ar"/>
        </w:rPr>
        <w:t>841.5</w:t>
      </w:r>
      <w:r>
        <w:rPr>
          <w:rFonts w:hint="eastAsia" w:ascii="宋体" w:hAnsi="宋体" w:eastAsia="宋体" w:cs="宋体"/>
          <w:color w:val="000000"/>
          <w:kern w:val="0"/>
          <w:sz w:val="24"/>
          <w:szCs w:val="24"/>
          <w:lang w:val="en-US" w:eastAsia="zh-CN" w:bidi="ar"/>
        </w:rPr>
        <w:t>米，为辖区内最高峰，东部紧邻鄱阳湖，湖岸曲折绵长。</w:t>
      </w:r>
    </w:p>
    <w:p>
      <w:pPr>
        <w:overflowPunct w:val="0"/>
        <w:topLinePunct/>
        <w:spacing w:line="500" w:lineRule="exact"/>
        <w:ind w:firstLine="480" w:firstLineChars="200"/>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赣江是江西省境内第一大河流，也是长江最大支流，全长</w:t>
      </w:r>
      <w:r>
        <w:rPr>
          <w:rFonts w:hint="default" w:ascii="宋体" w:hAnsi="宋体" w:eastAsia="宋体" w:cs="宋体"/>
          <w:color w:val="000000"/>
          <w:kern w:val="0"/>
          <w:sz w:val="24"/>
          <w:szCs w:val="24"/>
          <w:lang w:val="en-US" w:eastAsia="zh-CN" w:bidi="ar"/>
        </w:rPr>
        <w:t>827</w:t>
      </w:r>
      <w:r>
        <w:rPr>
          <w:rFonts w:hint="default" w:ascii="宋体" w:hAnsi="宋体" w:eastAsia="宋体" w:cs="宋体"/>
          <w:color w:val="000000"/>
          <w:kern w:val="0"/>
          <w:position w:val="-4"/>
          <w:sz w:val="24"/>
          <w:szCs w:val="24"/>
          <w:lang w:val="en-US" w:eastAsia="zh-CN" w:bidi="ar"/>
        </w:rPr>
        <w:object>
          <v:shape id="_x0000_i1025" o:spt="75" type="#_x0000_t75" style="height:13pt;width:19pt;" o:ole="t" filled="f" o:preferrelative="t" stroked="f" coordsize="21600,21600">
            <v:path/>
            <v:fill on="f" focussize="0,0"/>
            <v:stroke on="f"/>
            <v:imagedata r:id="rId11" o:title=""/>
            <o:lock v:ext="edit" aspectratio="t"/>
            <w10:wrap type="none"/>
            <w10:anchorlock/>
          </v:shape>
          <o:OLEObject Type="Embed" ProgID="Equation.KSEE3" ShapeID="_x0000_i1025" DrawAspect="Content" ObjectID="_1468075725" r:id="rId10">
            <o:LockedField>false</o:LockedField>
          </o:OLEObject>
        </w:object>
      </w:r>
      <w:r>
        <w:rPr>
          <w:rFonts w:hint="eastAsia" w:ascii="宋体" w:hAnsi="宋体" w:eastAsia="宋体" w:cs="宋体"/>
          <w:color w:val="000000"/>
          <w:kern w:val="0"/>
          <w:sz w:val="24"/>
          <w:szCs w:val="24"/>
          <w:lang w:val="en-US" w:eastAsia="zh-CN" w:bidi="ar"/>
        </w:rPr>
        <w:t>，流域面积</w:t>
      </w:r>
      <w:r>
        <w:rPr>
          <w:rFonts w:hint="default" w:ascii="宋体" w:hAnsi="宋体" w:eastAsia="宋体" w:cs="宋体"/>
          <w:color w:val="000000"/>
          <w:kern w:val="0"/>
          <w:sz w:val="24"/>
          <w:szCs w:val="24"/>
          <w:lang w:val="en-US" w:eastAsia="zh-CN" w:bidi="ar"/>
        </w:rPr>
        <w:t>8.3</w:t>
      </w:r>
      <w:r>
        <w:rPr>
          <w:rFonts w:hint="eastAsia" w:ascii="宋体" w:hAnsi="宋体" w:eastAsia="宋体" w:cs="宋体"/>
          <w:color w:val="000000"/>
          <w:kern w:val="0"/>
          <w:sz w:val="24"/>
          <w:szCs w:val="24"/>
          <w:lang w:val="en-US" w:eastAsia="zh-CN" w:bidi="ar"/>
        </w:rPr>
        <w:t>万</w:t>
      </w:r>
      <w:r>
        <w:rPr>
          <w:rFonts w:hint="eastAsia" w:ascii="宋体" w:hAnsi="宋体" w:eastAsia="宋体" w:cs="宋体"/>
          <w:color w:val="000000"/>
          <w:kern w:val="0"/>
          <w:position w:val="-4"/>
          <w:sz w:val="24"/>
          <w:szCs w:val="24"/>
          <w:lang w:val="en-US" w:eastAsia="zh-CN" w:bidi="ar"/>
        </w:rPr>
        <w:object>
          <v:shape id="_x0000_i1026" o:spt="75" type="#_x0000_t75" style="height:15pt;width:23pt;" o:ole="t" filled="f" o:preferrelative="t" stroked="f" coordsize="21600,21600">
            <v:path/>
            <v:fill on="f" focussize="0,0"/>
            <v:stroke on="f"/>
            <v:imagedata r:id="rId13" o:title=""/>
            <o:lock v:ext="edit" aspectratio="t"/>
            <w10:wrap type="none"/>
            <w10:anchorlock/>
          </v:shape>
          <o:OLEObject Type="Embed" ProgID="Equation.KSEE3" ShapeID="_x0000_i1026" DrawAspect="Content" ObjectID="_1468075726" r:id="rId12">
            <o:LockedField>false</o:LockedField>
          </o:OLEObject>
        </w:object>
      </w:r>
      <w:r>
        <w:rPr>
          <w:rFonts w:hint="eastAsia" w:ascii="宋体" w:hAnsi="宋体" w:eastAsia="宋体" w:cs="宋体"/>
          <w:color w:val="000000"/>
          <w:kern w:val="0"/>
          <w:sz w:val="24"/>
          <w:szCs w:val="24"/>
          <w:lang w:val="en-US" w:eastAsia="zh-CN" w:bidi="ar"/>
        </w:rPr>
        <w:t>，流经南昌市境内</w:t>
      </w:r>
      <w:r>
        <w:rPr>
          <w:rFonts w:hint="default" w:ascii="宋体" w:hAnsi="宋体" w:eastAsia="宋体" w:cs="宋体"/>
          <w:color w:val="000000"/>
          <w:kern w:val="0"/>
          <w:sz w:val="24"/>
          <w:szCs w:val="24"/>
          <w:lang w:val="en-US" w:eastAsia="zh-CN" w:bidi="ar"/>
        </w:rPr>
        <w:t>118</w:t>
      </w:r>
      <w:r>
        <w:rPr>
          <w:rFonts w:hint="default" w:ascii="宋体" w:hAnsi="宋体" w:eastAsia="宋体" w:cs="宋体"/>
          <w:color w:val="000000"/>
          <w:kern w:val="0"/>
          <w:position w:val="-4"/>
          <w:sz w:val="24"/>
          <w:szCs w:val="24"/>
          <w:lang w:val="en-US" w:eastAsia="zh-CN" w:bidi="ar"/>
        </w:rPr>
        <w:object>
          <v:shape id="_x0000_i1027" o:spt="75" type="#_x0000_t75" style="height:13pt;width:19pt;" o:ole="t" filled="f" o:preferrelative="t" stroked="f" coordsize="21600,21600">
            <v:path/>
            <v:fill on="f" focussize="0,0"/>
            <v:stroke on="f"/>
            <v:imagedata r:id="rId11" o:title=""/>
            <o:lock v:ext="edit" aspectratio="t"/>
            <w10:wrap type="none"/>
            <w10:anchorlock/>
          </v:shape>
          <o:OLEObject Type="Embed" ProgID="Equation.KSEE3" ShapeID="_x0000_i1027" DrawAspect="Content" ObjectID="_1468075727" r:id="rId14">
            <o:LockedField>false</o:LockedField>
          </o:OLEObject>
        </w:object>
      </w:r>
      <w:r>
        <w:rPr>
          <w:rFonts w:hint="eastAsia" w:ascii="宋体" w:hAnsi="宋体" w:eastAsia="宋体" w:cs="宋体"/>
          <w:color w:val="000000"/>
          <w:kern w:val="0"/>
          <w:sz w:val="24"/>
          <w:szCs w:val="24"/>
          <w:lang w:val="en-US" w:eastAsia="zh-CN" w:bidi="ar"/>
        </w:rPr>
        <w:t>，是南昌市唯一的地表饮用水水源和工业用水水源。它是由发源于赣闽交界的武夷山黄竹岭的贡江和发源于大余县聂都水，并由章江在赣州市汇合而成。它自南向北贯穿全省，干流全长</w:t>
      </w:r>
      <w:r>
        <w:rPr>
          <w:rFonts w:hint="default" w:ascii="宋体" w:hAnsi="宋体" w:eastAsia="宋体" w:cs="宋体"/>
          <w:color w:val="000000"/>
          <w:kern w:val="0"/>
          <w:sz w:val="24"/>
          <w:szCs w:val="24"/>
          <w:lang w:val="en-US" w:eastAsia="zh-CN" w:bidi="ar"/>
        </w:rPr>
        <w:t>439</w:t>
      </w:r>
      <w:r>
        <w:rPr>
          <w:rFonts w:hint="default" w:ascii="宋体" w:hAnsi="宋体" w:eastAsia="宋体" w:cs="宋体"/>
          <w:color w:val="000000"/>
          <w:kern w:val="0"/>
          <w:position w:val="-4"/>
          <w:sz w:val="24"/>
          <w:szCs w:val="24"/>
          <w:lang w:val="en-US" w:eastAsia="zh-CN" w:bidi="ar"/>
        </w:rPr>
        <w:object>
          <v:shape id="_x0000_i1028" o:spt="75" type="#_x0000_t75" style="height:13pt;width:19pt;" o:ole="t" filled="f" o:preferrelative="t" stroked="f" coordsize="21600,21600">
            <v:path/>
            <v:fill on="f" focussize="0,0"/>
            <v:stroke on="f"/>
            <v:imagedata r:id="rId11" o:title=""/>
            <o:lock v:ext="edit" aspectratio="t"/>
            <w10:wrap type="none"/>
            <w10:anchorlock/>
          </v:shape>
          <o:OLEObject Type="Embed" ProgID="Equation.KSEE3" ShapeID="_x0000_i1028" DrawAspect="Content" ObjectID="_1468075728" r:id="rId15">
            <o:LockedField>false</o:LockedField>
          </o:OLEObject>
        </w:object>
      </w:r>
      <w:r>
        <w:rPr>
          <w:rFonts w:hint="eastAsia" w:ascii="宋体" w:hAnsi="宋体" w:eastAsia="宋体" w:cs="宋体"/>
          <w:color w:val="000000"/>
          <w:kern w:val="0"/>
          <w:sz w:val="24"/>
          <w:szCs w:val="24"/>
          <w:lang w:val="en-US" w:eastAsia="zh-CN" w:bidi="ar"/>
        </w:rPr>
        <w:t>。南昌位于赣江的下游。赣江在新八一桥以下进入尾闾地区，它首先被裘家洲、扬子洲分成东、西两河。东河在蛟溪头又分成南支和中支两汊，南支绕过南昌市区向东北流经</w:t>
      </w:r>
      <w:r>
        <w:rPr>
          <w:rFonts w:hint="default" w:ascii="宋体" w:hAnsi="宋体" w:eastAsia="宋体" w:cs="宋体"/>
          <w:color w:val="000000"/>
          <w:kern w:val="0"/>
          <w:sz w:val="24"/>
          <w:szCs w:val="24"/>
          <w:lang w:val="en-US" w:eastAsia="zh-CN" w:bidi="ar"/>
        </w:rPr>
        <w:t>45</w:t>
      </w:r>
      <w:r>
        <w:rPr>
          <w:rFonts w:hint="default" w:ascii="宋体" w:hAnsi="宋体" w:eastAsia="宋体" w:cs="宋体"/>
          <w:color w:val="000000"/>
          <w:kern w:val="0"/>
          <w:position w:val="-4"/>
          <w:sz w:val="24"/>
          <w:szCs w:val="24"/>
          <w:lang w:val="en-US" w:eastAsia="zh-CN" w:bidi="ar"/>
        </w:rPr>
        <w:object>
          <v:shape id="_x0000_i1029" o:spt="75" type="#_x0000_t75" style="height:13pt;width:19pt;" o:ole="t" filled="f" o:preferrelative="t" stroked="f" coordsize="21600,21600">
            <v:path/>
            <v:fill on="f" focussize="0,0"/>
            <v:stroke on="f"/>
            <v:imagedata r:id="rId11" o:title=""/>
            <o:lock v:ext="edit" aspectratio="t"/>
            <w10:wrap type="none"/>
            <w10:anchorlock/>
          </v:shape>
          <o:OLEObject Type="Embed" ProgID="Equation.KSEE3" ShapeID="_x0000_i1029" DrawAspect="Content" ObjectID="_1468075729" r:id="rId16">
            <o:LockedField>false</o:LockedField>
          </o:OLEObject>
        </w:object>
      </w:r>
      <w:r>
        <w:rPr>
          <w:rFonts w:hint="eastAsia" w:ascii="宋体" w:hAnsi="宋体" w:eastAsia="宋体" w:cs="宋体"/>
          <w:color w:val="000000"/>
          <w:kern w:val="0"/>
          <w:sz w:val="24"/>
          <w:szCs w:val="24"/>
          <w:lang w:val="en-US" w:eastAsia="zh-CN" w:bidi="ar"/>
        </w:rPr>
        <w:t>入鄱阳湖，中支流经</w:t>
      </w:r>
      <w:r>
        <w:rPr>
          <w:rFonts w:hint="default" w:ascii="宋体" w:hAnsi="宋体" w:eastAsia="宋体" w:cs="宋体"/>
          <w:color w:val="000000"/>
          <w:kern w:val="0"/>
          <w:sz w:val="24"/>
          <w:szCs w:val="24"/>
          <w:lang w:val="en-US" w:eastAsia="zh-CN" w:bidi="ar"/>
        </w:rPr>
        <w:t>30</w:t>
      </w:r>
      <w:r>
        <w:rPr>
          <w:rFonts w:hint="default" w:ascii="宋体" w:hAnsi="宋体" w:eastAsia="宋体" w:cs="宋体"/>
          <w:color w:val="000000"/>
          <w:kern w:val="0"/>
          <w:position w:val="-4"/>
          <w:sz w:val="24"/>
          <w:szCs w:val="24"/>
          <w:lang w:val="en-US" w:eastAsia="zh-CN" w:bidi="ar"/>
        </w:rPr>
        <w:object>
          <v:shape id="_x0000_i1030" o:spt="75" type="#_x0000_t75" style="height:13pt;width:19pt;" o:ole="t" filled="f" o:preferrelative="t" stroked="f" coordsize="21600,21600">
            <v:path/>
            <v:fill on="f" focussize="0,0"/>
            <v:stroke on="f"/>
            <v:imagedata r:id="rId11" o:title=""/>
            <o:lock v:ext="edit" aspectratio="t"/>
            <w10:wrap type="none"/>
            <w10:anchorlock/>
          </v:shape>
          <o:OLEObject Type="Embed" ProgID="Equation.KSEE3" ShapeID="_x0000_i1030" DrawAspect="Content" ObjectID="_1468075730" r:id="rId17">
            <o:LockedField>false</o:LockedField>
          </o:OLEObject>
        </w:object>
      </w:r>
      <w:r>
        <w:rPr>
          <w:rFonts w:hint="eastAsia" w:ascii="宋体" w:hAnsi="宋体" w:eastAsia="宋体" w:cs="宋体"/>
          <w:color w:val="000000"/>
          <w:kern w:val="0"/>
          <w:sz w:val="24"/>
          <w:szCs w:val="24"/>
          <w:lang w:val="en-US" w:eastAsia="zh-CN" w:bidi="ar"/>
        </w:rPr>
        <w:t>在朱港入鄱阳湖。西河在芦洲头分为主支和北支两汊。北支经下堡闵家再分成官港河和沙叉河两汊，在朱港农场入鄱阳湖。主支流在吴城镇与修水汇合后出诸溪口入鄱阳湖。赣江流域面积广阔，水量丰沛，境内流域面积</w:t>
      </w:r>
      <w:r>
        <w:rPr>
          <w:rFonts w:hint="default" w:ascii="宋体" w:hAnsi="宋体" w:eastAsia="宋体" w:cs="宋体"/>
          <w:color w:val="000000"/>
          <w:kern w:val="0"/>
          <w:sz w:val="24"/>
          <w:szCs w:val="24"/>
          <w:lang w:val="en-US" w:eastAsia="zh-CN" w:bidi="ar"/>
        </w:rPr>
        <w:t>2199.19</w:t>
      </w:r>
      <w:r>
        <w:rPr>
          <w:rFonts w:hint="eastAsia" w:ascii="宋体" w:hAnsi="宋体" w:eastAsia="宋体" w:cs="宋体"/>
          <w:color w:val="000000"/>
          <w:kern w:val="0"/>
          <w:position w:val="-4"/>
          <w:sz w:val="24"/>
          <w:szCs w:val="24"/>
          <w:lang w:val="en-US" w:eastAsia="zh-CN" w:bidi="ar"/>
        </w:rPr>
        <w:object>
          <v:shape id="_x0000_i1031" o:spt="75" type="#_x0000_t75" style="height:15pt;width:23pt;" o:ole="t" filled="f" o:preferrelative="t" stroked="f" coordsize="21600,21600">
            <v:path/>
            <v:fill on="f" focussize="0,0"/>
            <v:stroke on="f"/>
            <v:imagedata r:id="rId13" o:title=""/>
            <o:lock v:ext="edit" aspectratio="t"/>
            <w10:wrap type="none"/>
            <w10:anchorlock/>
          </v:shape>
          <o:OLEObject Type="Embed" ProgID="Equation.KSEE3" ShapeID="_x0000_i1031" DrawAspect="Content" ObjectID="_1468075731" r:id="rId18">
            <o:LockedField>false</o:LockedField>
          </o:OLEObject>
        </w:object>
      </w:r>
      <w:r>
        <w:rPr>
          <w:rFonts w:hint="eastAsia" w:ascii="宋体" w:hAnsi="宋体" w:eastAsia="宋体" w:cs="宋体"/>
          <w:color w:val="000000"/>
          <w:kern w:val="0"/>
          <w:sz w:val="24"/>
          <w:szCs w:val="24"/>
          <w:lang w:val="en-US" w:eastAsia="zh-CN" w:bidi="ar"/>
        </w:rPr>
        <w:t>，年平均径流量约</w:t>
      </w:r>
      <w:r>
        <w:rPr>
          <w:rFonts w:hint="default" w:ascii="宋体" w:hAnsi="宋体" w:eastAsia="宋体" w:cs="宋体"/>
          <w:color w:val="000000"/>
          <w:kern w:val="0"/>
          <w:sz w:val="24"/>
          <w:szCs w:val="24"/>
          <w:lang w:val="en-US" w:eastAsia="zh-CN" w:bidi="ar"/>
        </w:rPr>
        <w:t>728.3</w:t>
      </w:r>
      <w:r>
        <w:rPr>
          <w:rFonts w:hint="eastAsia" w:ascii="宋体" w:hAnsi="宋体" w:eastAsia="宋体" w:cs="宋体"/>
          <w:color w:val="000000"/>
          <w:kern w:val="0"/>
          <w:sz w:val="24"/>
          <w:szCs w:val="24"/>
          <w:lang w:val="en-US" w:eastAsia="zh-CN" w:bidi="ar"/>
        </w:rPr>
        <w:t>亿</w:t>
      </w:r>
      <w:r>
        <w:rPr>
          <w:rFonts w:hint="eastAsia" w:ascii="宋体" w:hAnsi="宋体" w:eastAsia="宋体" w:cs="宋体"/>
          <w:color w:val="000000"/>
          <w:kern w:val="0"/>
          <w:position w:val="-4"/>
          <w:sz w:val="24"/>
          <w:szCs w:val="24"/>
          <w:lang w:val="en-US" w:eastAsia="zh-CN" w:bidi="ar"/>
        </w:rPr>
        <w:object>
          <v:shape id="_x0000_i1032" o:spt="75" type="#_x0000_t75" style="height:15pt;width:17pt;" o:ole="t" filled="f" o:preferrelative="t" stroked="f" coordsize="21600,21600">
            <v:path/>
            <v:fill on="f" focussize="0,0"/>
            <v:stroke on="f"/>
            <v:imagedata r:id="rId20" o:title=""/>
            <o:lock v:ext="edit" aspectratio="t"/>
            <w10:wrap type="none"/>
            <w10:anchorlock/>
          </v:shape>
          <o:OLEObject Type="Embed" ProgID="Equation.KSEE3" ShapeID="_x0000_i1032" DrawAspect="Content" ObjectID="_1468075732" r:id="rId19">
            <o:LockedField>false</o:LockedField>
          </o:OLEObject>
        </w:object>
      </w:r>
      <w:r>
        <w:rPr>
          <w:rFonts w:hint="eastAsia" w:ascii="宋体" w:hAnsi="宋体" w:eastAsia="宋体" w:cs="宋体"/>
          <w:color w:val="000000"/>
          <w:kern w:val="0"/>
          <w:sz w:val="24"/>
          <w:szCs w:val="24"/>
          <w:lang w:val="en-US" w:eastAsia="zh-CN" w:bidi="ar"/>
        </w:rPr>
        <w:t>，最大日均流量为</w:t>
      </w:r>
      <w:r>
        <w:rPr>
          <w:rFonts w:hint="default" w:ascii="宋体" w:hAnsi="宋体" w:eastAsia="宋体" w:cs="宋体"/>
          <w:color w:val="000000"/>
          <w:kern w:val="0"/>
          <w:sz w:val="24"/>
          <w:szCs w:val="24"/>
          <w:lang w:val="en-US" w:eastAsia="zh-CN" w:bidi="ar"/>
        </w:rPr>
        <w:t>20900</w:t>
      </w:r>
      <w:r>
        <w:rPr>
          <w:rFonts w:hint="eastAsia" w:ascii="宋体" w:hAnsi="宋体" w:eastAsia="宋体" w:cs="宋体"/>
          <w:color w:val="000000"/>
          <w:kern w:val="0"/>
          <w:position w:val="-4"/>
          <w:sz w:val="24"/>
          <w:szCs w:val="24"/>
          <w:lang w:val="en-US" w:eastAsia="zh-CN" w:bidi="ar"/>
        </w:rPr>
        <w:object>
          <v:shape id="_x0000_i1033" o:spt="75" type="#_x0000_t75" style="height:15pt;width:17pt;" o:ole="t" filled="f" o:preferrelative="t" stroked="f" coordsize="21600,21600">
            <v:path/>
            <v:fill on="f" focussize="0,0"/>
            <v:stroke on="f"/>
            <v:imagedata r:id="rId20" o:title=""/>
            <o:lock v:ext="edit" aspectratio="t"/>
            <w10:wrap type="none"/>
            <w10:anchorlock/>
          </v:shape>
          <o:OLEObject Type="Embed" ProgID="Equation.KSEE3" ShapeID="_x0000_i1033" DrawAspect="Content" ObjectID="_1468075733" r:id="rId21">
            <o:LockedField>false</o:LockedField>
          </o:OLEObject>
        </w:object>
      </w:r>
      <w:r>
        <w:rPr>
          <w:rFonts w:hint="default" w:ascii="宋体" w:hAnsi="宋体" w:eastAsia="宋体" w:cs="宋体"/>
          <w:color w:val="000000"/>
          <w:kern w:val="0"/>
          <w:sz w:val="24"/>
          <w:szCs w:val="24"/>
          <w:lang w:val="en-US" w:eastAsia="zh-CN" w:bidi="ar"/>
        </w:rPr>
        <w:t>/s</w:t>
      </w:r>
      <w:r>
        <w:rPr>
          <w:rFonts w:hint="eastAsia" w:ascii="宋体" w:hAnsi="宋体" w:eastAsia="宋体" w:cs="宋体"/>
          <w:color w:val="000000"/>
          <w:kern w:val="0"/>
          <w:sz w:val="24"/>
          <w:szCs w:val="24"/>
          <w:lang w:val="en-US" w:eastAsia="zh-CN" w:bidi="ar"/>
        </w:rPr>
        <w:t>（</w:t>
      </w:r>
      <w:r>
        <w:rPr>
          <w:rFonts w:hint="default" w:ascii="宋体" w:hAnsi="宋体" w:eastAsia="宋体" w:cs="宋体"/>
          <w:color w:val="000000"/>
          <w:kern w:val="0"/>
          <w:sz w:val="24"/>
          <w:szCs w:val="24"/>
          <w:lang w:val="en-US" w:eastAsia="zh-CN" w:bidi="ar"/>
        </w:rPr>
        <w:t>1962</w:t>
      </w:r>
      <w:r>
        <w:rPr>
          <w:rFonts w:hint="eastAsia" w:ascii="宋体" w:hAnsi="宋体" w:eastAsia="宋体" w:cs="宋体"/>
          <w:color w:val="000000"/>
          <w:kern w:val="0"/>
          <w:sz w:val="24"/>
          <w:szCs w:val="24"/>
          <w:lang w:val="en-US" w:eastAsia="zh-CN" w:bidi="ar"/>
        </w:rPr>
        <w:t>年</w:t>
      </w:r>
      <w:r>
        <w:rPr>
          <w:rFonts w:hint="default" w:ascii="宋体" w:hAnsi="宋体" w:eastAsia="宋体" w:cs="宋体"/>
          <w:color w:val="000000"/>
          <w:kern w:val="0"/>
          <w:sz w:val="24"/>
          <w:szCs w:val="24"/>
          <w:lang w:val="en-US" w:eastAsia="zh-CN" w:bidi="ar"/>
        </w:rPr>
        <w:t>6</w:t>
      </w:r>
      <w:r>
        <w:rPr>
          <w:rFonts w:hint="eastAsia" w:ascii="宋体" w:hAnsi="宋体" w:eastAsia="宋体" w:cs="宋体"/>
          <w:color w:val="000000"/>
          <w:kern w:val="0"/>
          <w:sz w:val="24"/>
          <w:szCs w:val="24"/>
          <w:lang w:val="en-US" w:eastAsia="zh-CN" w:bidi="ar"/>
        </w:rPr>
        <w:t>月</w:t>
      </w:r>
      <w:r>
        <w:rPr>
          <w:rFonts w:hint="default" w:ascii="宋体" w:hAnsi="宋体" w:eastAsia="宋体" w:cs="宋体"/>
          <w:color w:val="000000"/>
          <w:kern w:val="0"/>
          <w:sz w:val="24"/>
          <w:szCs w:val="24"/>
          <w:lang w:val="en-US" w:eastAsia="zh-CN" w:bidi="ar"/>
        </w:rPr>
        <w:t>20</w:t>
      </w:r>
      <w:r>
        <w:rPr>
          <w:rFonts w:hint="eastAsia" w:ascii="宋体" w:hAnsi="宋体" w:eastAsia="宋体" w:cs="宋体"/>
          <w:color w:val="000000"/>
          <w:kern w:val="0"/>
          <w:sz w:val="24"/>
          <w:szCs w:val="24"/>
          <w:lang w:val="en-US" w:eastAsia="zh-CN" w:bidi="ar"/>
        </w:rPr>
        <w:t>日），最小日均流量</w:t>
      </w:r>
      <w:r>
        <w:rPr>
          <w:rFonts w:hint="default" w:ascii="宋体" w:hAnsi="宋体" w:eastAsia="宋体" w:cs="宋体"/>
          <w:color w:val="000000"/>
          <w:kern w:val="0"/>
          <w:sz w:val="24"/>
          <w:szCs w:val="24"/>
          <w:lang w:val="en-US" w:eastAsia="zh-CN" w:bidi="ar"/>
        </w:rPr>
        <w:t>172</w:t>
      </w:r>
      <w:r>
        <w:rPr>
          <w:rFonts w:hint="eastAsia" w:ascii="宋体" w:hAnsi="宋体" w:eastAsia="宋体" w:cs="宋体"/>
          <w:color w:val="000000"/>
          <w:kern w:val="0"/>
          <w:position w:val="-4"/>
          <w:sz w:val="24"/>
          <w:szCs w:val="24"/>
          <w:lang w:val="en-US" w:eastAsia="zh-CN" w:bidi="ar"/>
        </w:rPr>
        <w:object>
          <v:shape id="_x0000_i1034" o:spt="75" type="#_x0000_t75" style="height:15pt;width:17pt;" o:ole="t" filled="f" o:preferrelative="t" stroked="f" coordsize="21600,21600">
            <v:path/>
            <v:fill on="f" focussize="0,0"/>
            <v:stroke on="f"/>
            <v:imagedata r:id="rId20" o:title=""/>
            <o:lock v:ext="edit" aspectratio="t"/>
            <w10:wrap type="none"/>
            <w10:anchorlock/>
          </v:shape>
          <o:OLEObject Type="Embed" ProgID="Equation.KSEE3" ShapeID="_x0000_i1034" DrawAspect="Content" ObjectID="_1468075734" r:id="rId22">
            <o:LockedField>false</o:LockedField>
          </o:OLEObject>
        </w:object>
      </w:r>
      <w:r>
        <w:rPr>
          <w:rFonts w:hint="default" w:ascii="宋体" w:hAnsi="宋体" w:eastAsia="宋体" w:cs="宋体"/>
          <w:color w:val="000000"/>
          <w:kern w:val="0"/>
          <w:sz w:val="24"/>
          <w:szCs w:val="24"/>
          <w:lang w:val="en-US" w:eastAsia="zh-CN" w:bidi="ar"/>
        </w:rPr>
        <w:t>/s</w:t>
      </w:r>
      <w:r>
        <w:rPr>
          <w:rFonts w:hint="eastAsia" w:ascii="宋体" w:hAnsi="宋体" w:eastAsia="宋体" w:cs="宋体"/>
          <w:color w:val="000000"/>
          <w:kern w:val="0"/>
          <w:sz w:val="24"/>
          <w:szCs w:val="24"/>
          <w:lang w:val="en-US" w:eastAsia="zh-CN" w:bidi="ar"/>
        </w:rPr>
        <w:t>（</w:t>
      </w:r>
      <w:r>
        <w:rPr>
          <w:rFonts w:hint="default" w:ascii="宋体" w:hAnsi="宋体" w:eastAsia="宋体" w:cs="宋体"/>
          <w:color w:val="000000"/>
          <w:kern w:val="0"/>
          <w:sz w:val="24"/>
          <w:szCs w:val="24"/>
          <w:lang w:val="en-US" w:eastAsia="zh-CN" w:bidi="ar"/>
        </w:rPr>
        <w:t>1963</w:t>
      </w:r>
      <w:r>
        <w:rPr>
          <w:rFonts w:hint="eastAsia" w:ascii="宋体" w:hAnsi="宋体" w:eastAsia="宋体" w:cs="宋体"/>
          <w:color w:val="000000"/>
          <w:kern w:val="0"/>
          <w:sz w:val="24"/>
          <w:szCs w:val="24"/>
          <w:lang w:val="en-US" w:eastAsia="zh-CN" w:bidi="ar"/>
        </w:rPr>
        <w:t>年</w:t>
      </w:r>
      <w:r>
        <w:rPr>
          <w:rFonts w:hint="default" w:ascii="宋体" w:hAnsi="宋体" w:eastAsia="宋体" w:cs="宋体"/>
          <w:color w:val="000000"/>
          <w:kern w:val="0"/>
          <w:sz w:val="24"/>
          <w:szCs w:val="24"/>
          <w:lang w:val="en-US" w:eastAsia="zh-CN" w:bidi="ar"/>
        </w:rPr>
        <w:t>11</w:t>
      </w:r>
      <w:r>
        <w:rPr>
          <w:rFonts w:hint="eastAsia" w:ascii="宋体" w:hAnsi="宋体" w:eastAsia="宋体" w:cs="宋体"/>
          <w:color w:val="000000"/>
          <w:kern w:val="0"/>
          <w:sz w:val="24"/>
          <w:szCs w:val="24"/>
          <w:lang w:val="en-US" w:eastAsia="zh-CN" w:bidi="ar"/>
        </w:rPr>
        <w:t>月</w:t>
      </w:r>
      <w:r>
        <w:rPr>
          <w:rFonts w:hint="default" w:ascii="宋体" w:hAnsi="宋体" w:eastAsia="宋体" w:cs="宋体"/>
          <w:color w:val="000000"/>
          <w:kern w:val="0"/>
          <w:sz w:val="24"/>
          <w:szCs w:val="24"/>
          <w:lang w:val="en-US" w:eastAsia="zh-CN" w:bidi="ar"/>
        </w:rPr>
        <w:t>30</w:t>
      </w:r>
      <w:r>
        <w:rPr>
          <w:rFonts w:hint="eastAsia" w:ascii="宋体" w:hAnsi="宋体" w:eastAsia="宋体" w:cs="宋体"/>
          <w:color w:val="000000"/>
          <w:kern w:val="0"/>
          <w:sz w:val="24"/>
          <w:szCs w:val="24"/>
          <w:lang w:val="en-US" w:eastAsia="zh-CN" w:bidi="ar"/>
        </w:rPr>
        <w:t>日），四十年平均流量为</w:t>
      </w:r>
      <w:r>
        <w:rPr>
          <w:rFonts w:hint="default" w:ascii="宋体" w:hAnsi="宋体" w:eastAsia="宋体" w:cs="宋体"/>
          <w:color w:val="000000"/>
          <w:kern w:val="0"/>
          <w:sz w:val="24"/>
          <w:szCs w:val="24"/>
          <w:lang w:val="en-US" w:eastAsia="zh-CN" w:bidi="ar"/>
        </w:rPr>
        <w:t>2100</w:t>
      </w:r>
      <w:r>
        <w:rPr>
          <w:rFonts w:hint="eastAsia" w:ascii="宋体" w:hAnsi="宋体" w:eastAsia="宋体" w:cs="宋体"/>
          <w:color w:val="000000"/>
          <w:kern w:val="0"/>
          <w:position w:val="-4"/>
          <w:sz w:val="24"/>
          <w:szCs w:val="24"/>
          <w:lang w:val="en-US" w:eastAsia="zh-CN" w:bidi="ar"/>
        </w:rPr>
        <w:object>
          <v:shape id="_x0000_i1035" o:spt="75" type="#_x0000_t75" style="height:15pt;width:17pt;" o:ole="t" filled="f" o:preferrelative="t" stroked="f" coordsize="21600,21600">
            <v:path/>
            <v:fill on="f" focussize="0,0"/>
            <v:stroke on="f"/>
            <v:imagedata r:id="rId20" o:title=""/>
            <o:lock v:ext="edit" aspectratio="t"/>
            <w10:wrap type="none"/>
            <w10:anchorlock/>
          </v:shape>
          <o:OLEObject Type="Embed" ProgID="Equation.KSEE3" ShapeID="_x0000_i1035" DrawAspect="Content" ObjectID="_1468075735" r:id="rId23">
            <o:LockedField>false</o:LockedField>
          </o:OLEObject>
        </w:object>
      </w:r>
      <w:r>
        <w:rPr>
          <w:rFonts w:hint="default" w:ascii="宋体" w:hAnsi="宋体" w:eastAsia="宋体" w:cs="宋体"/>
          <w:color w:val="000000"/>
          <w:kern w:val="0"/>
          <w:sz w:val="24"/>
          <w:szCs w:val="24"/>
          <w:lang w:val="en-US" w:eastAsia="zh-CN" w:bidi="ar"/>
        </w:rPr>
        <w:t>/s</w:t>
      </w:r>
      <w:r>
        <w:rPr>
          <w:rFonts w:hint="eastAsia" w:ascii="宋体" w:hAnsi="宋体" w:eastAsia="宋体" w:cs="宋体"/>
          <w:color w:val="000000"/>
          <w:kern w:val="0"/>
          <w:sz w:val="24"/>
          <w:szCs w:val="24"/>
          <w:lang w:val="en-US" w:eastAsia="zh-CN" w:bidi="ar"/>
        </w:rPr>
        <w:t>。</w:t>
      </w:r>
    </w:p>
    <w:p>
      <w:pPr>
        <w:keepNext/>
        <w:keepLines/>
        <w:spacing w:beforeLines="50" w:line="360" w:lineRule="auto"/>
        <w:jc w:val="left"/>
        <w:outlineLvl w:val="1"/>
        <w:rPr>
          <w:rFonts w:ascii="Times New Roman" w:hAnsi="Times New Roman" w:cs="Times New Roman"/>
          <w:b/>
          <w:bCs/>
          <w:color w:val="000000" w:themeColor="text1"/>
          <w:kern w:val="44"/>
          <w:sz w:val="24"/>
          <w:szCs w:val="24"/>
        </w:rPr>
      </w:pPr>
      <w:bookmarkStart w:id="177" w:name="_Toc28053"/>
      <w:r>
        <w:rPr>
          <w:rFonts w:ascii="Times New Roman" w:hAnsi="Times New Roman" w:cs="Times New Roman"/>
          <w:b/>
          <w:bCs/>
          <w:color w:val="000000" w:themeColor="text1"/>
          <w:kern w:val="44"/>
          <w:sz w:val="24"/>
          <w:szCs w:val="24"/>
        </w:rPr>
        <w:t>2.3 周边环境敏感点</w:t>
      </w:r>
      <w:bookmarkEnd w:id="170"/>
      <w:bookmarkEnd w:id="171"/>
      <w:bookmarkEnd w:id="172"/>
      <w:bookmarkEnd w:id="173"/>
      <w:bookmarkEnd w:id="174"/>
      <w:bookmarkEnd w:id="175"/>
      <w:bookmarkEnd w:id="176"/>
      <w:bookmarkEnd w:id="177"/>
    </w:p>
    <w:p>
      <w:pPr>
        <w:snapToGrid w:val="0"/>
        <w:spacing w:line="360" w:lineRule="auto"/>
        <w:jc w:val="left"/>
        <w:rPr>
          <w:rFonts w:ascii="Times New Roman" w:hAnsi="Times New Roman" w:cs="Times New Roman"/>
          <w:color w:val="000000" w:themeColor="text1"/>
          <w:sz w:val="24"/>
          <w:szCs w:val="24"/>
          <w:lang w:val="zh-CN"/>
        </w:rPr>
      </w:pPr>
      <w:r>
        <w:rPr>
          <w:rFonts w:ascii="Times New Roman" w:hAnsi="Times New Roman" w:cs="Times New Roman"/>
          <w:color w:val="000000" w:themeColor="text1"/>
          <w:kern w:val="0"/>
          <w:sz w:val="24"/>
          <w:szCs w:val="24"/>
        </w:rPr>
        <w:t>本项目厂址评价区重点保护目标见</w:t>
      </w:r>
      <w:r>
        <w:rPr>
          <w:rFonts w:hint="eastAsia" w:ascii="Times New Roman" w:hAnsi="Times New Roman" w:cs="Times New Roman"/>
          <w:color w:val="000000" w:themeColor="text1"/>
          <w:kern w:val="0"/>
          <w:sz w:val="24"/>
          <w:szCs w:val="24"/>
        </w:rPr>
        <w:t>下表2</w:t>
      </w:r>
      <w:r>
        <w:rPr>
          <w:rFonts w:ascii="Times New Roman" w:hAnsi="Times New Roman" w:cs="Times New Roman"/>
          <w:color w:val="000000" w:themeColor="text1"/>
          <w:kern w:val="0"/>
          <w:sz w:val="24"/>
          <w:szCs w:val="24"/>
        </w:rPr>
        <w:t>-2</w:t>
      </w:r>
      <w:r>
        <w:rPr>
          <w:rFonts w:hint="eastAsia" w:ascii="Times New Roman" w:hAnsi="Times New Roman" w:cs="Times New Roman"/>
          <w:color w:val="000000" w:themeColor="text1"/>
          <w:kern w:val="0"/>
          <w:sz w:val="24"/>
          <w:szCs w:val="24"/>
        </w:rPr>
        <w:t>。</w:t>
      </w:r>
      <w:r>
        <w:rPr>
          <w:rFonts w:ascii="Times New Roman" w:hAnsi="Times New Roman" w:cs="Times New Roman"/>
          <w:color w:val="000000" w:themeColor="text1"/>
          <w:sz w:val="24"/>
          <w:szCs w:val="24"/>
          <w:lang w:val="zh-CN"/>
        </w:rPr>
        <w:t>建设项目与周围环境关系图见图</w:t>
      </w:r>
      <w:r>
        <w:rPr>
          <w:rFonts w:ascii="Times New Roman" w:hAnsi="Times New Roman" w:cs="Times New Roman"/>
          <w:color w:val="000000" w:themeColor="text1"/>
          <w:sz w:val="24"/>
          <w:szCs w:val="24"/>
        </w:rPr>
        <w:t>2-2</w:t>
      </w:r>
      <w:r>
        <w:rPr>
          <w:rFonts w:ascii="Times New Roman" w:hAnsi="Times New Roman" w:cs="Times New Roman"/>
          <w:color w:val="000000" w:themeColor="text1"/>
          <w:sz w:val="24"/>
          <w:szCs w:val="24"/>
          <w:lang w:val="zh-CN"/>
        </w:rPr>
        <w:t>。</w:t>
      </w:r>
    </w:p>
    <w:p>
      <w:pPr>
        <w:snapToGrid w:val="0"/>
        <w:spacing w:before="163"/>
        <w:jc w:val="center"/>
        <w:rPr>
          <w:rFonts w:ascii="Times New Roman" w:hAnsi="Times New Roman" w:cs="Times New Roman"/>
          <w:color w:val="000000" w:themeColor="text1"/>
          <w:szCs w:val="21"/>
        </w:rPr>
      </w:pPr>
      <w:r>
        <w:rPr>
          <w:rFonts w:ascii="Times New Roman" w:hAnsi="Times New Roman" w:cs="Times New Roman"/>
          <w:b/>
          <w:color w:val="000000" w:themeColor="text1"/>
          <w:szCs w:val="21"/>
        </w:rPr>
        <w:t>表2-2 环境保护目标一览表</w:t>
      </w:r>
    </w:p>
    <w:tbl>
      <w:tblPr>
        <w:tblStyle w:val="14"/>
        <w:tblpPr w:leftFromText="180" w:rightFromText="180" w:vertAnchor="text" w:horzAnchor="page" w:tblpX="1406" w:tblpY="248"/>
        <w:tblOverlap w:val="never"/>
        <w:tblW w:w="9230" w:type="dxa"/>
        <w:tblInd w:w="0" w:type="dxa"/>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1207"/>
        <w:gridCol w:w="1861"/>
        <w:gridCol w:w="1050"/>
        <w:gridCol w:w="1054"/>
        <w:gridCol w:w="1357"/>
        <w:gridCol w:w="2701"/>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788" w:hRule="exact"/>
        </w:trPr>
        <w:tc>
          <w:tcPr>
            <w:tcW w:w="1207"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环境要素</w:t>
            </w:r>
          </w:p>
        </w:tc>
        <w:tc>
          <w:tcPr>
            <w:tcW w:w="1861"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保护目标名称</w:t>
            </w:r>
          </w:p>
        </w:tc>
        <w:tc>
          <w:tcPr>
            <w:tcW w:w="1050" w:type="dxa"/>
            <w:tcBorders>
              <w:tl2br w:val="nil"/>
              <w:tr2bl w:val="nil"/>
            </w:tcBorders>
            <w:vAlign w:val="center"/>
          </w:tcPr>
          <w:p>
            <w:pPr>
              <w:jc w:val="center"/>
            </w:pPr>
            <w:r>
              <w:rPr>
                <w:rFonts w:hint="eastAsia"/>
              </w:rPr>
              <w:t>距离</w:t>
            </w:r>
          </w:p>
        </w:tc>
        <w:tc>
          <w:tcPr>
            <w:tcW w:w="1054"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方位</w:t>
            </w:r>
          </w:p>
        </w:tc>
        <w:tc>
          <w:tcPr>
            <w:tcW w:w="1357"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保护目标人数（人）</w:t>
            </w:r>
          </w:p>
        </w:tc>
        <w:tc>
          <w:tcPr>
            <w:tcW w:w="2701"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环境功能</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66" w:hRule="atLeast"/>
        </w:trPr>
        <w:tc>
          <w:tcPr>
            <w:tcW w:w="1207" w:type="dxa"/>
            <w:vMerge w:val="restart"/>
            <w:tcBorders>
              <w:tl2br w:val="nil"/>
              <w:tr2bl w:val="nil"/>
            </w:tcBorders>
            <w:vAlign w:val="center"/>
          </w:tcPr>
          <w:p>
            <w:pPr>
              <w:widowControl/>
              <w:jc w:val="center"/>
              <w:rPr>
                <w:rFonts w:ascii="宋体" w:hAnsi="宋体" w:eastAsia="宋体" w:cs="宋体"/>
                <w:szCs w:val="21"/>
              </w:rPr>
            </w:pPr>
            <w:r>
              <w:rPr>
                <w:rFonts w:hint="eastAsia" w:ascii="宋体" w:hAnsi="宋体" w:eastAsia="宋体" w:cs="宋体"/>
                <w:szCs w:val="21"/>
              </w:rPr>
              <w:t>大气环境/声环境</w:t>
            </w:r>
          </w:p>
        </w:tc>
        <w:tc>
          <w:tcPr>
            <w:tcW w:w="1861" w:type="dxa"/>
            <w:tcBorders>
              <w:tl2br w:val="nil"/>
              <w:tr2bl w:val="nil"/>
            </w:tcBorders>
            <w:vAlign w:val="center"/>
          </w:tcPr>
          <w:p>
            <w:pPr>
              <w:pStyle w:val="33"/>
              <w:numPr>
                <w:ilvl w:val="0"/>
                <w:numId w:val="0"/>
              </w:numPr>
              <w:ind w:left="0" w:leftChars="0" w:firstLine="0" w:firstLineChars="0"/>
              <w:jc w:val="center"/>
              <w:rPr>
                <w:rFonts w:hint="default" w:ascii="宋体" w:hAnsi="宋体" w:eastAsia="宋体" w:cs="宋体"/>
                <w:kern w:val="18"/>
                <w:szCs w:val="21"/>
                <w:lang w:val="en-US" w:eastAsia="zh-CN"/>
              </w:rPr>
            </w:pPr>
            <w:r>
              <w:rPr>
                <w:rFonts w:hint="eastAsia" w:ascii="宋体" w:hAnsi="宋体" w:eastAsia="宋体" w:cs="宋体"/>
                <w:kern w:val="18"/>
                <w:szCs w:val="21"/>
                <w:lang w:val="en-US" w:eastAsia="zh-CN"/>
              </w:rPr>
              <w:t>青岚</w:t>
            </w:r>
          </w:p>
        </w:tc>
        <w:tc>
          <w:tcPr>
            <w:tcW w:w="1050" w:type="dxa"/>
            <w:tcBorders>
              <w:tl2br w:val="nil"/>
              <w:tr2bl w:val="nil"/>
            </w:tcBorders>
            <w:vAlign w:val="center"/>
          </w:tcPr>
          <w:p>
            <w:pPr>
              <w:jc w:val="center"/>
              <w:rPr>
                <w:rFonts w:hint="default" w:ascii="Times New Roman" w:hAnsi="Times New Roman" w:eastAsia="宋体" w:cs="Times New Roman"/>
                <w:kern w:val="18"/>
                <w:szCs w:val="21"/>
                <w:lang w:val="en-US" w:eastAsia="zh-CN"/>
              </w:rPr>
            </w:pPr>
            <w:r>
              <w:rPr>
                <w:rFonts w:hint="default" w:ascii="Times New Roman" w:hAnsi="Times New Roman" w:eastAsia="宋体" w:cs="Times New Roman"/>
                <w:kern w:val="18"/>
                <w:szCs w:val="21"/>
                <w:lang w:val="en-US" w:eastAsia="zh-CN"/>
              </w:rPr>
              <w:t>1600m</w:t>
            </w:r>
          </w:p>
        </w:tc>
        <w:tc>
          <w:tcPr>
            <w:tcW w:w="1054" w:type="dxa"/>
            <w:tcBorders>
              <w:tl2br w:val="nil"/>
              <w:tr2bl w:val="nil"/>
            </w:tcBorders>
            <w:vAlign w:val="center"/>
          </w:tcPr>
          <w:p>
            <w:pPr>
              <w:jc w:val="center"/>
              <w:rPr>
                <w:rFonts w:hint="eastAsia" w:ascii="宋体" w:hAnsi="宋体" w:eastAsia="宋体" w:cs="宋体"/>
                <w:kern w:val="18"/>
                <w:szCs w:val="21"/>
                <w:lang w:val="en-US" w:eastAsia="zh-CN"/>
              </w:rPr>
            </w:pPr>
            <w:r>
              <w:rPr>
                <w:rFonts w:hint="eastAsia" w:ascii="宋体" w:hAnsi="宋体" w:eastAsia="宋体" w:cs="宋体"/>
                <w:kern w:val="18"/>
                <w:szCs w:val="21"/>
                <w:lang w:val="en-US" w:eastAsia="zh-CN"/>
              </w:rPr>
              <w:t>西北</w:t>
            </w:r>
          </w:p>
        </w:tc>
        <w:tc>
          <w:tcPr>
            <w:tcW w:w="1357" w:type="dxa"/>
            <w:tcBorders>
              <w:tl2br w:val="nil"/>
              <w:tr2bl w:val="nil"/>
            </w:tcBorders>
            <w:vAlign w:val="center"/>
          </w:tcPr>
          <w:p>
            <w:pPr>
              <w:jc w:val="center"/>
              <w:rPr>
                <w:rFonts w:hint="default" w:ascii="Times New Roman" w:hAnsi="Times New Roman" w:eastAsia="宋体" w:cs="Times New Roman"/>
                <w:kern w:val="18"/>
                <w:szCs w:val="21"/>
              </w:rPr>
            </w:pPr>
            <w:r>
              <w:rPr>
                <w:rFonts w:hint="default" w:ascii="Times New Roman" w:hAnsi="Times New Roman" w:eastAsia="宋体" w:cs="Times New Roman"/>
                <w:kern w:val="18"/>
                <w:szCs w:val="21"/>
              </w:rPr>
              <w:t>约</w:t>
            </w:r>
            <w:r>
              <w:rPr>
                <w:rFonts w:hint="default" w:ascii="Times New Roman" w:hAnsi="Times New Roman" w:eastAsia="宋体" w:cs="Times New Roman"/>
                <w:kern w:val="18"/>
                <w:szCs w:val="21"/>
                <w:lang w:val="en-US" w:eastAsia="zh-CN"/>
              </w:rPr>
              <w:t>2000</w:t>
            </w:r>
            <w:r>
              <w:rPr>
                <w:rFonts w:hint="default" w:ascii="Times New Roman" w:hAnsi="Times New Roman" w:eastAsia="宋体" w:cs="Times New Roman"/>
                <w:kern w:val="18"/>
                <w:szCs w:val="21"/>
              </w:rPr>
              <w:t>人</w:t>
            </w:r>
          </w:p>
        </w:tc>
        <w:tc>
          <w:tcPr>
            <w:tcW w:w="2701" w:type="dxa"/>
            <w:vMerge w:val="restart"/>
            <w:tcBorders>
              <w:tl2br w:val="nil"/>
              <w:tr2bl w:val="nil"/>
            </w:tcBorders>
            <w:vAlign w:val="center"/>
          </w:tcPr>
          <w:p>
            <w:pPr>
              <w:ind w:left="-2" w:leftChars="-1"/>
              <w:contextualSpacing/>
              <w:jc w:val="center"/>
              <w:rPr>
                <w:rFonts w:hint="default" w:ascii="Times New Roman" w:hAnsi="Times New Roman" w:eastAsia="宋体" w:cs="Times New Roman"/>
                <w:szCs w:val="21"/>
              </w:rPr>
            </w:pPr>
            <w:r>
              <w:rPr>
                <w:rFonts w:hint="default" w:ascii="Times New Roman" w:hAnsi="Times New Roman" w:eastAsia="宋体" w:cs="Times New Roman"/>
                <w:szCs w:val="21"/>
              </w:rPr>
              <w:t>《环境空气质量标准》(GB3095-2012)中二级标准、《声环境质量标准》</w:t>
            </w:r>
          </w:p>
          <w:p>
            <w:pPr>
              <w:jc w:val="center"/>
              <w:rPr>
                <w:rFonts w:hint="default" w:ascii="Times New Roman" w:hAnsi="Times New Roman" w:eastAsia="宋体" w:cs="Times New Roman"/>
                <w:kern w:val="18"/>
                <w:szCs w:val="21"/>
              </w:rPr>
            </w:pPr>
            <w:r>
              <w:rPr>
                <w:rFonts w:hint="default" w:ascii="Times New Roman" w:hAnsi="Times New Roman" w:eastAsia="宋体" w:cs="Times New Roman"/>
                <w:szCs w:val="21"/>
              </w:rPr>
              <w:t>(GB3096-2008)中2类、4a类标准</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66" w:hRule="atLeast"/>
        </w:trPr>
        <w:tc>
          <w:tcPr>
            <w:tcW w:w="1207" w:type="dxa"/>
            <w:vMerge w:val="continue"/>
            <w:tcBorders>
              <w:tl2br w:val="nil"/>
              <w:tr2bl w:val="nil"/>
            </w:tcBorders>
            <w:vAlign w:val="center"/>
          </w:tcPr>
          <w:p>
            <w:pPr>
              <w:widowControl/>
              <w:jc w:val="center"/>
              <w:rPr>
                <w:rFonts w:ascii="宋体" w:hAnsi="宋体" w:eastAsia="宋体" w:cs="宋体"/>
                <w:szCs w:val="21"/>
              </w:rPr>
            </w:pPr>
          </w:p>
        </w:tc>
        <w:tc>
          <w:tcPr>
            <w:tcW w:w="1861" w:type="dxa"/>
            <w:tcBorders>
              <w:tl2br w:val="nil"/>
              <w:tr2bl w:val="nil"/>
            </w:tcBorders>
            <w:vAlign w:val="center"/>
          </w:tcPr>
          <w:p>
            <w:pPr>
              <w:pStyle w:val="33"/>
              <w:numPr>
                <w:ilvl w:val="0"/>
                <w:numId w:val="0"/>
              </w:numPr>
              <w:ind w:leftChars="0"/>
              <w:jc w:val="center"/>
              <w:rPr>
                <w:rFonts w:hint="default" w:ascii="宋体" w:hAnsi="宋体" w:eastAsia="宋体" w:cs="宋体"/>
                <w:kern w:val="18"/>
                <w:szCs w:val="21"/>
                <w:lang w:val="en-US" w:eastAsia="zh-CN"/>
              </w:rPr>
            </w:pPr>
            <w:r>
              <w:rPr>
                <w:rFonts w:hint="eastAsia" w:ascii="宋体" w:hAnsi="宋体" w:eastAsia="宋体" w:cs="宋体"/>
                <w:kern w:val="18"/>
                <w:szCs w:val="21"/>
                <w:lang w:val="en-US" w:eastAsia="zh-CN"/>
              </w:rPr>
              <w:t>向家</w:t>
            </w:r>
          </w:p>
        </w:tc>
        <w:tc>
          <w:tcPr>
            <w:tcW w:w="1050" w:type="dxa"/>
            <w:tcBorders>
              <w:tl2br w:val="nil"/>
              <w:tr2bl w:val="nil"/>
            </w:tcBorders>
            <w:vAlign w:val="center"/>
          </w:tcPr>
          <w:p>
            <w:pPr>
              <w:jc w:val="center"/>
              <w:rPr>
                <w:rFonts w:hint="default" w:ascii="Times New Roman" w:hAnsi="Times New Roman" w:eastAsia="宋体" w:cs="Times New Roman"/>
                <w:kern w:val="18"/>
                <w:szCs w:val="21"/>
                <w:lang w:val="en-US" w:eastAsia="zh-CN"/>
              </w:rPr>
            </w:pPr>
            <w:r>
              <w:rPr>
                <w:rFonts w:hint="default" w:ascii="Times New Roman" w:hAnsi="Times New Roman" w:eastAsia="宋体" w:cs="Times New Roman"/>
                <w:kern w:val="18"/>
                <w:szCs w:val="21"/>
                <w:lang w:val="en-US" w:eastAsia="zh-CN"/>
              </w:rPr>
              <w:t>1400m</w:t>
            </w:r>
          </w:p>
        </w:tc>
        <w:tc>
          <w:tcPr>
            <w:tcW w:w="1054" w:type="dxa"/>
            <w:tcBorders>
              <w:tl2br w:val="nil"/>
              <w:tr2bl w:val="nil"/>
            </w:tcBorders>
            <w:vAlign w:val="center"/>
          </w:tcPr>
          <w:p>
            <w:pPr>
              <w:jc w:val="center"/>
              <w:rPr>
                <w:rFonts w:hint="eastAsia" w:ascii="宋体" w:hAnsi="宋体" w:eastAsia="宋体" w:cs="宋体"/>
                <w:kern w:val="18"/>
                <w:szCs w:val="21"/>
                <w:lang w:val="en-US" w:eastAsia="zh-CN"/>
              </w:rPr>
            </w:pPr>
            <w:r>
              <w:rPr>
                <w:rFonts w:hint="eastAsia" w:ascii="宋体" w:hAnsi="宋体" w:eastAsia="宋体" w:cs="宋体"/>
                <w:kern w:val="18"/>
                <w:szCs w:val="21"/>
                <w:lang w:val="en-US" w:eastAsia="zh-CN"/>
              </w:rPr>
              <w:t>西北</w:t>
            </w:r>
          </w:p>
        </w:tc>
        <w:tc>
          <w:tcPr>
            <w:tcW w:w="1357" w:type="dxa"/>
            <w:tcBorders>
              <w:tl2br w:val="nil"/>
              <w:tr2bl w:val="nil"/>
            </w:tcBorders>
            <w:vAlign w:val="center"/>
          </w:tcPr>
          <w:p>
            <w:pPr>
              <w:jc w:val="center"/>
              <w:rPr>
                <w:rFonts w:hint="default" w:ascii="Times New Roman" w:hAnsi="Times New Roman" w:eastAsia="宋体" w:cs="Times New Roman"/>
                <w:kern w:val="18"/>
                <w:szCs w:val="21"/>
              </w:rPr>
            </w:pPr>
            <w:r>
              <w:rPr>
                <w:rFonts w:hint="default" w:ascii="Times New Roman" w:hAnsi="Times New Roman" w:eastAsia="宋体" w:cs="Times New Roman"/>
                <w:kern w:val="18"/>
                <w:szCs w:val="21"/>
              </w:rPr>
              <w:t>约</w:t>
            </w:r>
            <w:r>
              <w:rPr>
                <w:rFonts w:hint="default" w:ascii="Times New Roman" w:hAnsi="Times New Roman" w:eastAsia="宋体" w:cs="Times New Roman"/>
                <w:kern w:val="18"/>
                <w:szCs w:val="21"/>
                <w:lang w:val="en-US" w:eastAsia="zh-CN"/>
              </w:rPr>
              <w:t>2500</w:t>
            </w:r>
            <w:r>
              <w:rPr>
                <w:rFonts w:hint="default" w:ascii="Times New Roman" w:hAnsi="Times New Roman" w:eastAsia="宋体" w:cs="Times New Roman"/>
                <w:kern w:val="18"/>
                <w:szCs w:val="21"/>
              </w:rPr>
              <w:t>人</w:t>
            </w:r>
          </w:p>
        </w:tc>
        <w:tc>
          <w:tcPr>
            <w:tcW w:w="2701" w:type="dxa"/>
            <w:vMerge w:val="continue"/>
            <w:tcBorders>
              <w:tl2br w:val="nil"/>
              <w:tr2bl w:val="nil"/>
            </w:tcBorders>
            <w:vAlign w:val="center"/>
          </w:tcPr>
          <w:p>
            <w:pPr>
              <w:jc w:val="center"/>
              <w:rPr>
                <w:rFonts w:hint="default" w:ascii="Times New Roman" w:hAnsi="Times New Roman" w:eastAsia="宋体" w:cs="Times New Roman"/>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66" w:hRule="atLeast"/>
        </w:trPr>
        <w:tc>
          <w:tcPr>
            <w:tcW w:w="1207" w:type="dxa"/>
            <w:vMerge w:val="continue"/>
            <w:tcBorders>
              <w:tl2br w:val="nil"/>
              <w:tr2bl w:val="nil"/>
            </w:tcBorders>
            <w:vAlign w:val="center"/>
          </w:tcPr>
          <w:p>
            <w:pPr>
              <w:widowControl/>
              <w:jc w:val="center"/>
              <w:rPr>
                <w:rFonts w:ascii="宋体" w:hAnsi="宋体" w:eastAsia="宋体" w:cs="宋体"/>
                <w:szCs w:val="21"/>
              </w:rPr>
            </w:pPr>
          </w:p>
        </w:tc>
        <w:tc>
          <w:tcPr>
            <w:tcW w:w="1861" w:type="dxa"/>
            <w:tcBorders>
              <w:tl2br w:val="nil"/>
              <w:tr2bl w:val="nil"/>
            </w:tcBorders>
            <w:vAlign w:val="center"/>
          </w:tcPr>
          <w:p>
            <w:pPr>
              <w:pStyle w:val="33"/>
              <w:numPr>
                <w:ilvl w:val="0"/>
                <w:numId w:val="0"/>
              </w:numPr>
              <w:ind w:leftChars="0"/>
              <w:jc w:val="center"/>
              <w:rPr>
                <w:rFonts w:hint="default" w:ascii="宋体" w:hAnsi="宋体" w:eastAsia="宋体" w:cs="宋体"/>
                <w:kern w:val="18"/>
                <w:szCs w:val="21"/>
                <w:lang w:val="en-US" w:eastAsia="zh-CN"/>
              </w:rPr>
            </w:pPr>
            <w:r>
              <w:rPr>
                <w:rFonts w:hint="eastAsia" w:ascii="宋体" w:hAnsi="宋体" w:eastAsia="宋体" w:cs="宋体"/>
                <w:kern w:val="18"/>
                <w:szCs w:val="21"/>
                <w:lang w:val="en-US" w:eastAsia="zh-CN"/>
              </w:rPr>
              <w:t>南边王家</w:t>
            </w:r>
          </w:p>
        </w:tc>
        <w:tc>
          <w:tcPr>
            <w:tcW w:w="1050" w:type="dxa"/>
            <w:tcBorders>
              <w:tl2br w:val="nil"/>
              <w:tr2bl w:val="nil"/>
            </w:tcBorders>
            <w:vAlign w:val="center"/>
          </w:tcPr>
          <w:p>
            <w:pPr>
              <w:jc w:val="center"/>
              <w:rPr>
                <w:rFonts w:hint="default" w:ascii="Times New Roman" w:hAnsi="Times New Roman" w:eastAsia="宋体" w:cs="Times New Roman"/>
                <w:kern w:val="18"/>
                <w:szCs w:val="21"/>
                <w:lang w:val="en-US" w:eastAsia="zh-CN"/>
              </w:rPr>
            </w:pPr>
            <w:r>
              <w:rPr>
                <w:rFonts w:hint="default" w:ascii="Times New Roman" w:hAnsi="Times New Roman" w:eastAsia="宋体" w:cs="Times New Roman"/>
                <w:kern w:val="18"/>
                <w:szCs w:val="21"/>
                <w:lang w:val="en-US" w:eastAsia="zh-CN"/>
              </w:rPr>
              <w:t>1100m</w:t>
            </w:r>
          </w:p>
        </w:tc>
        <w:tc>
          <w:tcPr>
            <w:tcW w:w="1054" w:type="dxa"/>
            <w:tcBorders>
              <w:tl2br w:val="nil"/>
              <w:tr2bl w:val="nil"/>
            </w:tcBorders>
            <w:vAlign w:val="center"/>
          </w:tcPr>
          <w:p>
            <w:pPr>
              <w:jc w:val="center"/>
              <w:rPr>
                <w:rFonts w:hint="eastAsia" w:ascii="宋体" w:hAnsi="宋体" w:eastAsia="宋体" w:cs="宋体"/>
                <w:kern w:val="18"/>
                <w:szCs w:val="21"/>
                <w:lang w:val="en-US" w:eastAsia="zh-CN"/>
              </w:rPr>
            </w:pPr>
            <w:r>
              <w:rPr>
                <w:rFonts w:hint="eastAsia" w:ascii="宋体" w:hAnsi="宋体" w:eastAsia="宋体" w:cs="宋体"/>
                <w:kern w:val="18"/>
                <w:szCs w:val="21"/>
                <w:lang w:val="en-US" w:eastAsia="zh-CN"/>
              </w:rPr>
              <w:t>西北</w:t>
            </w:r>
          </w:p>
        </w:tc>
        <w:tc>
          <w:tcPr>
            <w:tcW w:w="1357" w:type="dxa"/>
            <w:tcBorders>
              <w:tl2br w:val="nil"/>
              <w:tr2bl w:val="nil"/>
            </w:tcBorders>
            <w:vAlign w:val="center"/>
          </w:tcPr>
          <w:p>
            <w:pPr>
              <w:jc w:val="center"/>
              <w:rPr>
                <w:rFonts w:hint="default" w:ascii="Times New Roman" w:hAnsi="Times New Roman" w:eastAsia="宋体" w:cs="Times New Roman"/>
                <w:kern w:val="18"/>
                <w:szCs w:val="21"/>
              </w:rPr>
            </w:pPr>
            <w:r>
              <w:rPr>
                <w:rFonts w:hint="default" w:ascii="Times New Roman" w:hAnsi="Times New Roman" w:eastAsia="宋体" w:cs="Times New Roman"/>
                <w:kern w:val="18"/>
                <w:szCs w:val="21"/>
              </w:rPr>
              <w:t>约</w:t>
            </w:r>
            <w:r>
              <w:rPr>
                <w:rFonts w:hint="default" w:ascii="Times New Roman" w:hAnsi="Times New Roman" w:eastAsia="宋体" w:cs="Times New Roman"/>
                <w:kern w:val="18"/>
                <w:szCs w:val="21"/>
                <w:lang w:val="en-US" w:eastAsia="zh-CN"/>
              </w:rPr>
              <w:t>2600</w:t>
            </w:r>
            <w:r>
              <w:rPr>
                <w:rFonts w:hint="default" w:ascii="Times New Roman" w:hAnsi="Times New Roman" w:eastAsia="宋体" w:cs="Times New Roman"/>
                <w:kern w:val="18"/>
                <w:szCs w:val="21"/>
              </w:rPr>
              <w:t>人</w:t>
            </w:r>
          </w:p>
        </w:tc>
        <w:tc>
          <w:tcPr>
            <w:tcW w:w="2701" w:type="dxa"/>
            <w:vMerge w:val="continue"/>
            <w:tcBorders>
              <w:tl2br w:val="nil"/>
              <w:tr2bl w:val="nil"/>
            </w:tcBorders>
            <w:vAlign w:val="center"/>
          </w:tcPr>
          <w:p>
            <w:pPr>
              <w:widowControl/>
              <w:jc w:val="center"/>
              <w:rPr>
                <w:rFonts w:hint="default" w:ascii="Times New Roman" w:hAnsi="Times New Roman" w:eastAsia="宋体" w:cs="Times New Roman"/>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66" w:hRule="atLeast"/>
        </w:trPr>
        <w:tc>
          <w:tcPr>
            <w:tcW w:w="1207" w:type="dxa"/>
            <w:vMerge w:val="continue"/>
            <w:tcBorders>
              <w:tl2br w:val="nil"/>
              <w:tr2bl w:val="nil"/>
            </w:tcBorders>
            <w:vAlign w:val="center"/>
          </w:tcPr>
          <w:p>
            <w:pPr>
              <w:widowControl/>
              <w:jc w:val="center"/>
              <w:rPr>
                <w:rFonts w:ascii="宋体" w:hAnsi="宋体" w:eastAsia="宋体" w:cs="宋体"/>
                <w:szCs w:val="21"/>
              </w:rPr>
            </w:pPr>
          </w:p>
        </w:tc>
        <w:tc>
          <w:tcPr>
            <w:tcW w:w="1861" w:type="dxa"/>
            <w:tcBorders>
              <w:tl2br w:val="nil"/>
              <w:tr2bl w:val="nil"/>
            </w:tcBorders>
            <w:vAlign w:val="center"/>
          </w:tcPr>
          <w:p>
            <w:pPr>
              <w:pStyle w:val="33"/>
              <w:numPr>
                <w:ilvl w:val="0"/>
                <w:numId w:val="0"/>
              </w:numPr>
              <w:ind w:leftChars="0"/>
              <w:jc w:val="center"/>
              <w:rPr>
                <w:rFonts w:hint="default" w:ascii="宋体" w:hAnsi="宋体" w:eastAsia="宋体" w:cs="宋体"/>
                <w:kern w:val="18"/>
                <w:szCs w:val="21"/>
                <w:lang w:val="en-US" w:eastAsia="zh-CN"/>
              </w:rPr>
            </w:pPr>
            <w:r>
              <w:rPr>
                <w:rFonts w:hint="eastAsia" w:ascii="宋体" w:hAnsi="宋体" w:eastAsia="宋体" w:cs="宋体"/>
                <w:kern w:val="18"/>
                <w:szCs w:val="21"/>
                <w:lang w:val="en-US" w:eastAsia="zh-CN"/>
              </w:rPr>
              <w:t>上罗村</w:t>
            </w:r>
          </w:p>
        </w:tc>
        <w:tc>
          <w:tcPr>
            <w:tcW w:w="1050" w:type="dxa"/>
            <w:tcBorders>
              <w:tl2br w:val="nil"/>
              <w:tr2bl w:val="nil"/>
            </w:tcBorders>
            <w:vAlign w:val="center"/>
          </w:tcPr>
          <w:p>
            <w:pPr>
              <w:jc w:val="center"/>
              <w:rPr>
                <w:rFonts w:hint="default" w:ascii="Times New Roman" w:hAnsi="Times New Roman" w:eastAsia="宋体" w:cs="Times New Roman"/>
                <w:kern w:val="18"/>
                <w:szCs w:val="21"/>
                <w:lang w:val="en-US" w:eastAsia="zh-CN"/>
              </w:rPr>
            </w:pPr>
            <w:r>
              <w:rPr>
                <w:rFonts w:hint="default" w:ascii="Times New Roman" w:hAnsi="Times New Roman" w:eastAsia="宋体" w:cs="Times New Roman"/>
                <w:kern w:val="18"/>
                <w:szCs w:val="21"/>
                <w:lang w:val="en-US" w:eastAsia="zh-CN"/>
              </w:rPr>
              <w:t>600m</w:t>
            </w:r>
          </w:p>
        </w:tc>
        <w:tc>
          <w:tcPr>
            <w:tcW w:w="1054" w:type="dxa"/>
            <w:tcBorders>
              <w:tl2br w:val="nil"/>
              <w:tr2bl w:val="nil"/>
            </w:tcBorders>
            <w:vAlign w:val="center"/>
          </w:tcPr>
          <w:p>
            <w:pPr>
              <w:jc w:val="center"/>
              <w:rPr>
                <w:rFonts w:hint="eastAsia" w:ascii="宋体" w:hAnsi="宋体" w:eastAsia="宋体" w:cs="宋体"/>
                <w:kern w:val="18"/>
                <w:szCs w:val="21"/>
                <w:lang w:val="en-US" w:eastAsia="zh-CN"/>
              </w:rPr>
            </w:pPr>
            <w:r>
              <w:rPr>
                <w:rFonts w:hint="eastAsia" w:ascii="宋体" w:hAnsi="宋体" w:eastAsia="宋体" w:cs="宋体"/>
                <w:kern w:val="18"/>
                <w:szCs w:val="21"/>
                <w:lang w:val="en-US" w:eastAsia="zh-CN"/>
              </w:rPr>
              <w:t>西</w:t>
            </w:r>
          </w:p>
        </w:tc>
        <w:tc>
          <w:tcPr>
            <w:tcW w:w="1357" w:type="dxa"/>
            <w:tcBorders>
              <w:tl2br w:val="nil"/>
              <w:tr2bl w:val="nil"/>
            </w:tcBorders>
            <w:vAlign w:val="center"/>
          </w:tcPr>
          <w:p>
            <w:pPr>
              <w:jc w:val="center"/>
              <w:rPr>
                <w:rFonts w:hint="default" w:ascii="Times New Roman" w:hAnsi="Times New Roman" w:eastAsia="宋体" w:cs="Times New Roman"/>
                <w:kern w:val="18"/>
                <w:szCs w:val="21"/>
              </w:rPr>
            </w:pPr>
            <w:r>
              <w:rPr>
                <w:rFonts w:hint="default" w:ascii="Times New Roman" w:hAnsi="Times New Roman" w:eastAsia="宋体" w:cs="Times New Roman"/>
                <w:kern w:val="18"/>
                <w:szCs w:val="21"/>
              </w:rPr>
              <w:t>约</w:t>
            </w:r>
            <w:r>
              <w:rPr>
                <w:rFonts w:hint="default" w:ascii="Times New Roman" w:hAnsi="Times New Roman" w:eastAsia="宋体" w:cs="Times New Roman"/>
                <w:kern w:val="18"/>
                <w:szCs w:val="21"/>
                <w:lang w:val="en-US" w:eastAsia="zh-CN"/>
              </w:rPr>
              <w:t>2400</w:t>
            </w:r>
            <w:r>
              <w:rPr>
                <w:rFonts w:hint="default" w:ascii="Times New Roman" w:hAnsi="Times New Roman" w:eastAsia="宋体" w:cs="Times New Roman"/>
                <w:kern w:val="18"/>
                <w:szCs w:val="21"/>
              </w:rPr>
              <w:t>人</w:t>
            </w:r>
          </w:p>
        </w:tc>
        <w:tc>
          <w:tcPr>
            <w:tcW w:w="2701" w:type="dxa"/>
            <w:vMerge w:val="continue"/>
            <w:tcBorders>
              <w:tl2br w:val="nil"/>
              <w:tr2bl w:val="nil"/>
            </w:tcBorders>
            <w:vAlign w:val="center"/>
          </w:tcPr>
          <w:p>
            <w:pPr>
              <w:widowControl/>
              <w:jc w:val="center"/>
              <w:rPr>
                <w:rFonts w:hint="default" w:ascii="Times New Roman" w:hAnsi="Times New Roman" w:eastAsia="宋体" w:cs="Times New Roman"/>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66" w:hRule="atLeast"/>
        </w:trPr>
        <w:tc>
          <w:tcPr>
            <w:tcW w:w="1207" w:type="dxa"/>
            <w:vMerge w:val="continue"/>
            <w:tcBorders>
              <w:tl2br w:val="nil"/>
              <w:tr2bl w:val="nil"/>
            </w:tcBorders>
            <w:vAlign w:val="center"/>
          </w:tcPr>
          <w:p>
            <w:pPr>
              <w:widowControl/>
              <w:jc w:val="center"/>
              <w:rPr>
                <w:rFonts w:ascii="宋体" w:hAnsi="宋体" w:eastAsia="宋体" w:cs="宋体"/>
                <w:szCs w:val="21"/>
              </w:rPr>
            </w:pPr>
          </w:p>
        </w:tc>
        <w:tc>
          <w:tcPr>
            <w:tcW w:w="1861" w:type="dxa"/>
            <w:tcBorders>
              <w:tl2br w:val="nil"/>
              <w:tr2bl w:val="nil"/>
            </w:tcBorders>
            <w:vAlign w:val="center"/>
          </w:tcPr>
          <w:p>
            <w:pPr>
              <w:pStyle w:val="33"/>
              <w:numPr>
                <w:ilvl w:val="0"/>
                <w:numId w:val="0"/>
              </w:numPr>
              <w:ind w:leftChars="0"/>
              <w:jc w:val="center"/>
              <w:rPr>
                <w:rFonts w:hint="default" w:ascii="宋体" w:hAnsi="宋体" w:eastAsia="宋体" w:cs="宋体"/>
                <w:kern w:val="18"/>
                <w:szCs w:val="21"/>
                <w:lang w:val="en-US" w:eastAsia="zh-CN"/>
              </w:rPr>
            </w:pPr>
            <w:r>
              <w:rPr>
                <w:rFonts w:hint="eastAsia" w:ascii="宋体" w:hAnsi="宋体" w:eastAsia="宋体" w:cs="宋体"/>
                <w:kern w:val="18"/>
                <w:szCs w:val="21"/>
                <w:lang w:val="en-US" w:eastAsia="zh-CN"/>
              </w:rPr>
              <w:t>老屋李家</w:t>
            </w:r>
          </w:p>
        </w:tc>
        <w:tc>
          <w:tcPr>
            <w:tcW w:w="1050" w:type="dxa"/>
            <w:tcBorders>
              <w:tl2br w:val="nil"/>
              <w:tr2bl w:val="nil"/>
            </w:tcBorders>
            <w:vAlign w:val="center"/>
          </w:tcPr>
          <w:p>
            <w:pPr>
              <w:jc w:val="center"/>
              <w:rPr>
                <w:rFonts w:hint="default" w:ascii="Times New Roman" w:hAnsi="Times New Roman" w:eastAsia="宋体" w:cs="Times New Roman"/>
                <w:kern w:val="18"/>
                <w:szCs w:val="21"/>
                <w:lang w:val="en-US" w:eastAsia="zh-CN"/>
              </w:rPr>
            </w:pPr>
            <w:r>
              <w:rPr>
                <w:rFonts w:hint="default" w:ascii="Times New Roman" w:hAnsi="Times New Roman" w:eastAsia="宋体" w:cs="Times New Roman"/>
                <w:kern w:val="18"/>
                <w:szCs w:val="21"/>
                <w:lang w:val="en-US" w:eastAsia="zh-CN"/>
              </w:rPr>
              <w:t>1400m</w:t>
            </w:r>
          </w:p>
        </w:tc>
        <w:tc>
          <w:tcPr>
            <w:tcW w:w="1054" w:type="dxa"/>
            <w:tcBorders>
              <w:tl2br w:val="nil"/>
              <w:tr2bl w:val="nil"/>
            </w:tcBorders>
            <w:vAlign w:val="center"/>
          </w:tcPr>
          <w:p>
            <w:pPr>
              <w:jc w:val="center"/>
              <w:rPr>
                <w:rFonts w:hint="default" w:ascii="宋体" w:hAnsi="宋体" w:eastAsia="宋体" w:cs="宋体"/>
                <w:kern w:val="18"/>
                <w:szCs w:val="21"/>
                <w:lang w:val="en-US" w:eastAsia="zh-CN"/>
              </w:rPr>
            </w:pPr>
            <w:r>
              <w:rPr>
                <w:rFonts w:hint="eastAsia" w:ascii="宋体" w:hAnsi="宋体" w:eastAsia="宋体" w:cs="宋体"/>
                <w:kern w:val="18"/>
                <w:szCs w:val="21"/>
                <w:lang w:val="en-US" w:eastAsia="zh-CN"/>
              </w:rPr>
              <w:t>西南</w:t>
            </w:r>
          </w:p>
        </w:tc>
        <w:tc>
          <w:tcPr>
            <w:tcW w:w="1357" w:type="dxa"/>
            <w:tcBorders>
              <w:tl2br w:val="nil"/>
              <w:tr2bl w:val="nil"/>
            </w:tcBorders>
            <w:vAlign w:val="center"/>
          </w:tcPr>
          <w:p>
            <w:pPr>
              <w:jc w:val="center"/>
              <w:rPr>
                <w:rFonts w:hint="default" w:ascii="Times New Roman" w:hAnsi="Times New Roman" w:cs="Times New Roman"/>
              </w:rPr>
            </w:pPr>
            <w:r>
              <w:rPr>
                <w:rFonts w:hint="default" w:ascii="Times New Roman" w:hAnsi="Times New Roman" w:eastAsia="宋体" w:cs="Times New Roman"/>
                <w:kern w:val="18"/>
                <w:szCs w:val="21"/>
              </w:rPr>
              <w:t>约</w:t>
            </w:r>
            <w:r>
              <w:rPr>
                <w:rFonts w:hint="default" w:ascii="Times New Roman" w:hAnsi="Times New Roman" w:eastAsia="宋体" w:cs="Times New Roman"/>
                <w:kern w:val="18"/>
                <w:szCs w:val="21"/>
                <w:lang w:val="en-US" w:eastAsia="zh-CN"/>
              </w:rPr>
              <w:t>2200</w:t>
            </w:r>
            <w:r>
              <w:rPr>
                <w:rFonts w:hint="default" w:ascii="Times New Roman" w:hAnsi="Times New Roman" w:eastAsia="宋体" w:cs="Times New Roman"/>
                <w:kern w:val="18"/>
                <w:szCs w:val="21"/>
              </w:rPr>
              <w:t>人</w:t>
            </w:r>
          </w:p>
        </w:tc>
        <w:tc>
          <w:tcPr>
            <w:tcW w:w="2701" w:type="dxa"/>
            <w:vMerge w:val="continue"/>
            <w:tcBorders>
              <w:tl2br w:val="nil"/>
              <w:tr2bl w:val="nil"/>
            </w:tcBorders>
            <w:vAlign w:val="center"/>
          </w:tcPr>
          <w:p>
            <w:pPr>
              <w:widowControl/>
              <w:jc w:val="center"/>
              <w:rPr>
                <w:rFonts w:hint="default" w:ascii="Times New Roman" w:hAnsi="Times New Roman" w:eastAsia="宋体" w:cs="Times New Roman"/>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66" w:hRule="atLeast"/>
        </w:trPr>
        <w:tc>
          <w:tcPr>
            <w:tcW w:w="1207" w:type="dxa"/>
            <w:vMerge w:val="continue"/>
            <w:tcBorders>
              <w:tl2br w:val="nil"/>
              <w:tr2bl w:val="nil"/>
            </w:tcBorders>
            <w:vAlign w:val="center"/>
          </w:tcPr>
          <w:p>
            <w:pPr>
              <w:widowControl/>
              <w:jc w:val="center"/>
              <w:rPr>
                <w:rFonts w:ascii="宋体" w:hAnsi="宋体" w:eastAsia="宋体" w:cs="宋体"/>
                <w:szCs w:val="21"/>
              </w:rPr>
            </w:pPr>
          </w:p>
        </w:tc>
        <w:tc>
          <w:tcPr>
            <w:tcW w:w="1861" w:type="dxa"/>
            <w:tcBorders>
              <w:tl2br w:val="nil"/>
              <w:tr2bl w:val="nil"/>
            </w:tcBorders>
            <w:vAlign w:val="center"/>
          </w:tcPr>
          <w:p>
            <w:pPr>
              <w:pStyle w:val="33"/>
              <w:numPr>
                <w:ilvl w:val="0"/>
                <w:numId w:val="0"/>
              </w:numPr>
              <w:ind w:leftChars="0"/>
              <w:jc w:val="center"/>
              <w:rPr>
                <w:rFonts w:hint="default" w:ascii="宋体" w:hAnsi="宋体" w:eastAsia="宋体" w:cs="宋体"/>
                <w:kern w:val="18"/>
                <w:szCs w:val="21"/>
                <w:lang w:val="en-US" w:eastAsia="zh-CN"/>
              </w:rPr>
            </w:pPr>
            <w:r>
              <w:rPr>
                <w:rFonts w:hint="eastAsia" w:ascii="宋体" w:hAnsi="宋体" w:eastAsia="宋体" w:cs="宋体"/>
                <w:kern w:val="18"/>
                <w:szCs w:val="21"/>
                <w:lang w:val="en-US" w:eastAsia="zh-CN"/>
              </w:rPr>
              <w:t>汪家</w:t>
            </w:r>
          </w:p>
        </w:tc>
        <w:tc>
          <w:tcPr>
            <w:tcW w:w="1050" w:type="dxa"/>
            <w:tcBorders>
              <w:tl2br w:val="nil"/>
              <w:tr2bl w:val="nil"/>
            </w:tcBorders>
            <w:vAlign w:val="center"/>
          </w:tcPr>
          <w:p>
            <w:pPr>
              <w:jc w:val="center"/>
              <w:rPr>
                <w:rFonts w:hint="default" w:ascii="Times New Roman" w:hAnsi="Times New Roman" w:eastAsia="宋体" w:cs="Times New Roman"/>
                <w:kern w:val="18"/>
                <w:szCs w:val="21"/>
                <w:lang w:val="en-US" w:eastAsia="zh-CN"/>
              </w:rPr>
            </w:pPr>
            <w:r>
              <w:rPr>
                <w:rFonts w:hint="default" w:ascii="Times New Roman" w:hAnsi="Times New Roman" w:eastAsia="宋体" w:cs="Times New Roman"/>
                <w:kern w:val="18"/>
                <w:szCs w:val="21"/>
                <w:lang w:val="en-US" w:eastAsia="zh-CN"/>
              </w:rPr>
              <w:t>1300m</w:t>
            </w:r>
          </w:p>
        </w:tc>
        <w:tc>
          <w:tcPr>
            <w:tcW w:w="1054" w:type="dxa"/>
            <w:tcBorders>
              <w:tl2br w:val="nil"/>
              <w:tr2bl w:val="nil"/>
            </w:tcBorders>
            <w:vAlign w:val="center"/>
          </w:tcPr>
          <w:p>
            <w:pPr>
              <w:jc w:val="center"/>
              <w:rPr>
                <w:rFonts w:hint="default" w:ascii="宋体" w:hAnsi="宋体" w:eastAsia="宋体" w:cs="宋体"/>
                <w:kern w:val="18"/>
                <w:szCs w:val="21"/>
                <w:lang w:val="en-US" w:eastAsia="zh-CN"/>
              </w:rPr>
            </w:pPr>
            <w:r>
              <w:rPr>
                <w:rFonts w:hint="eastAsia" w:ascii="宋体" w:hAnsi="宋体" w:eastAsia="宋体" w:cs="宋体"/>
                <w:kern w:val="18"/>
                <w:szCs w:val="21"/>
                <w:lang w:val="en-US" w:eastAsia="zh-CN"/>
              </w:rPr>
              <w:t>南</w:t>
            </w:r>
          </w:p>
        </w:tc>
        <w:tc>
          <w:tcPr>
            <w:tcW w:w="1357" w:type="dxa"/>
            <w:tcBorders>
              <w:tl2br w:val="nil"/>
              <w:tr2bl w:val="nil"/>
            </w:tcBorders>
            <w:vAlign w:val="center"/>
          </w:tcPr>
          <w:p>
            <w:pPr>
              <w:jc w:val="center"/>
              <w:rPr>
                <w:rFonts w:hint="default" w:ascii="Times New Roman" w:hAnsi="Times New Roman" w:eastAsia="宋体" w:cs="Times New Roman"/>
                <w:kern w:val="18"/>
                <w:szCs w:val="21"/>
              </w:rPr>
            </w:pPr>
            <w:r>
              <w:rPr>
                <w:rFonts w:hint="default" w:ascii="Times New Roman" w:hAnsi="Times New Roman" w:eastAsia="宋体" w:cs="Times New Roman"/>
                <w:kern w:val="18"/>
                <w:szCs w:val="21"/>
              </w:rPr>
              <w:t>约</w:t>
            </w:r>
            <w:r>
              <w:rPr>
                <w:rFonts w:hint="default" w:ascii="Times New Roman" w:hAnsi="Times New Roman" w:eastAsia="宋体" w:cs="Times New Roman"/>
                <w:kern w:val="18"/>
                <w:szCs w:val="21"/>
                <w:lang w:val="en-US" w:eastAsia="zh-CN"/>
              </w:rPr>
              <w:t>2800</w:t>
            </w:r>
            <w:r>
              <w:rPr>
                <w:rFonts w:hint="default" w:ascii="Times New Roman" w:hAnsi="Times New Roman" w:eastAsia="宋体" w:cs="Times New Roman"/>
                <w:kern w:val="18"/>
                <w:szCs w:val="21"/>
              </w:rPr>
              <w:t>人</w:t>
            </w:r>
          </w:p>
        </w:tc>
        <w:tc>
          <w:tcPr>
            <w:tcW w:w="2701" w:type="dxa"/>
            <w:vMerge w:val="continue"/>
            <w:tcBorders>
              <w:tl2br w:val="nil"/>
              <w:tr2bl w:val="nil"/>
            </w:tcBorders>
            <w:vAlign w:val="center"/>
          </w:tcPr>
          <w:p>
            <w:pPr>
              <w:widowControl/>
              <w:jc w:val="center"/>
              <w:rPr>
                <w:rFonts w:hint="default" w:ascii="Times New Roman" w:hAnsi="Times New Roman" w:eastAsia="宋体" w:cs="Times New Roman"/>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66" w:hRule="atLeast"/>
        </w:trPr>
        <w:tc>
          <w:tcPr>
            <w:tcW w:w="1207" w:type="dxa"/>
            <w:vMerge w:val="continue"/>
            <w:tcBorders>
              <w:tl2br w:val="nil"/>
              <w:tr2bl w:val="nil"/>
            </w:tcBorders>
            <w:vAlign w:val="center"/>
          </w:tcPr>
          <w:p>
            <w:pPr>
              <w:widowControl/>
              <w:jc w:val="center"/>
              <w:rPr>
                <w:rFonts w:ascii="宋体" w:hAnsi="宋体" w:eastAsia="宋体" w:cs="宋体"/>
                <w:szCs w:val="21"/>
              </w:rPr>
            </w:pPr>
          </w:p>
        </w:tc>
        <w:tc>
          <w:tcPr>
            <w:tcW w:w="1861" w:type="dxa"/>
            <w:tcBorders>
              <w:tl2br w:val="nil"/>
              <w:tr2bl w:val="nil"/>
            </w:tcBorders>
            <w:vAlign w:val="center"/>
          </w:tcPr>
          <w:p>
            <w:pPr>
              <w:pStyle w:val="33"/>
              <w:numPr>
                <w:ilvl w:val="0"/>
                <w:numId w:val="0"/>
              </w:numPr>
              <w:ind w:leftChars="0"/>
              <w:jc w:val="center"/>
              <w:rPr>
                <w:rFonts w:hint="default" w:ascii="宋体" w:hAnsi="宋体" w:eastAsia="宋体" w:cs="宋体"/>
                <w:kern w:val="18"/>
                <w:szCs w:val="21"/>
                <w:lang w:val="en-US" w:eastAsia="zh-CN"/>
              </w:rPr>
            </w:pPr>
            <w:r>
              <w:rPr>
                <w:rFonts w:hint="eastAsia" w:ascii="宋体" w:hAnsi="宋体" w:eastAsia="宋体" w:cs="宋体"/>
                <w:kern w:val="18"/>
                <w:szCs w:val="21"/>
                <w:lang w:val="en-US" w:eastAsia="zh-CN"/>
              </w:rPr>
              <w:t>附近居民</w:t>
            </w:r>
          </w:p>
        </w:tc>
        <w:tc>
          <w:tcPr>
            <w:tcW w:w="1050" w:type="dxa"/>
            <w:tcBorders>
              <w:tl2br w:val="nil"/>
              <w:tr2bl w:val="nil"/>
            </w:tcBorders>
            <w:vAlign w:val="center"/>
          </w:tcPr>
          <w:p>
            <w:pPr>
              <w:jc w:val="center"/>
              <w:rPr>
                <w:rFonts w:hint="default" w:ascii="Times New Roman" w:hAnsi="Times New Roman" w:eastAsia="宋体" w:cs="Times New Roman"/>
                <w:kern w:val="18"/>
                <w:szCs w:val="21"/>
                <w:lang w:val="en-US" w:eastAsia="zh-CN"/>
              </w:rPr>
            </w:pPr>
            <w:r>
              <w:rPr>
                <w:rFonts w:hint="default" w:ascii="Times New Roman" w:hAnsi="Times New Roman" w:eastAsia="宋体" w:cs="Times New Roman"/>
                <w:kern w:val="18"/>
                <w:szCs w:val="21"/>
                <w:lang w:val="en-US" w:eastAsia="zh-CN"/>
              </w:rPr>
              <w:t>1000m</w:t>
            </w:r>
          </w:p>
        </w:tc>
        <w:tc>
          <w:tcPr>
            <w:tcW w:w="1054" w:type="dxa"/>
            <w:tcBorders>
              <w:tl2br w:val="nil"/>
              <w:tr2bl w:val="nil"/>
            </w:tcBorders>
            <w:vAlign w:val="center"/>
          </w:tcPr>
          <w:p>
            <w:pPr>
              <w:jc w:val="center"/>
              <w:rPr>
                <w:rFonts w:hint="default" w:ascii="宋体" w:hAnsi="宋体" w:eastAsia="宋体" w:cs="宋体"/>
                <w:kern w:val="18"/>
                <w:szCs w:val="21"/>
                <w:lang w:val="en-US" w:eastAsia="zh-CN"/>
              </w:rPr>
            </w:pPr>
            <w:r>
              <w:rPr>
                <w:rFonts w:hint="eastAsia" w:ascii="宋体" w:hAnsi="宋体" w:eastAsia="宋体" w:cs="宋体"/>
                <w:kern w:val="18"/>
                <w:szCs w:val="21"/>
                <w:lang w:val="en-US" w:eastAsia="zh-CN"/>
              </w:rPr>
              <w:t>东北，东南，南</w:t>
            </w:r>
          </w:p>
        </w:tc>
        <w:tc>
          <w:tcPr>
            <w:tcW w:w="1357" w:type="dxa"/>
            <w:tcBorders>
              <w:tl2br w:val="nil"/>
              <w:tr2bl w:val="nil"/>
            </w:tcBorders>
            <w:vAlign w:val="center"/>
          </w:tcPr>
          <w:p>
            <w:pPr>
              <w:jc w:val="center"/>
              <w:rPr>
                <w:rFonts w:hint="default" w:ascii="Times New Roman" w:hAnsi="Times New Roman" w:eastAsia="宋体" w:cs="Times New Roman"/>
                <w:kern w:val="18"/>
                <w:szCs w:val="21"/>
              </w:rPr>
            </w:pPr>
            <w:r>
              <w:rPr>
                <w:rFonts w:hint="default" w:ascii="Times New Roman" w:hAnsi="Times New Roman" w:eastAsia="宋体" w:cs="Times New Roman"/>
                <w:kern w:val="18"/>
                <w:szCs w:val="21"/>
              </w:rPr>
              <w:t>约</w:t>
            </w:r>
            <w:r>
              <w:rPr>
                <w:rFonts w:hint="default" w:ascii="Times New Roman" w:hAnsi="Times New Roman" w:eastAsia="宋体" w:cs="Times New Roman"/>
                <w:kern w:val="18"/>
                <w:szCs w:val="21"/>
                <w:lang w:val="en-US" w:eastAsia="zh-CN"/>
              </w:rPr>
              <w:t>20000</w:t>
            </w:r>
            <w:r>
              <w:rPr>
                <w:rFonts w:hint="default" w:ascii="Times New Roman" w:hAnsi="Times New Roman" w:eastAsia="宋体" w:cs="Times New Roman"/>
                <w:kern w:val="18"/>
                <w:szCs w:val="21"/>
              </w:rPr>
              <w:t>人</w:t>
            </w:r>
          </w:p>
        </w:tc>
        <w:tc>
          <w:tcPr>
            <w:tcW w:w="2701" w:type="dxa"/>
            <w:vMerge w:val="continue"/>
            <w:tcBorders>
              <w:tl2br w:val="nil"/>
              <w:tr2bl w:val="nil"/>
            </w:tcBorders>
            <w:vAlign w:val="center"/>
          </w:tcPr>
          <w:p>
            <w:pPr>
              <w:widowControl/>
              <w:jc w:val="center"/>
              <w:rPr>
                <w:rFonts w:hint="default" w:ascii="Times New Roman" w:hAnsi="Times New Roman" w:eastAsia="宋体" w:cs="Times New Roman"/>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66" w:hRule="atLeast"/>
        </w:trPr>
        <w:tc>
          <w:tcPr>
            <w:tcW w:w="1207" w:type="dxa"/>
            <w:tcBorders>
              <w:tl2br w:val="nil"/>
              <w:tr2bl w:val="nil"/>
            </w:tcBorders>
            <w:vAlign w:val="center"/>
          </w:tcPr>
          <w:p>
            <w:pPr>
              <w:widowControl/>
              <w:jc w:val="center"/>
              <w:rPr>
                <w:rFonts w:ascii="宋体" w:hAnsi="宋体" w:eastAsia="宋体" w:cs="宋体"/>
                <w:szCs w:val="21"/>
              </w:rPr>
            </w:pPr>
            <w:r>
              <w:rPr>
                <w:rFonts w:hint="eastAsia" w:ascii="宋体" w:hAnsi="宋体" w:eastAsia="宋体" w:cs="宋体"/>
                <w:szCs w:val="21"/>
              </w:rPr>
              <w:t>水环境</w:t>
            </w:r>
          </w:p>
        </w:tc>
        <w:tc>
          <w:tcPr>
            <w:tcW w:w="1861" w:type="dxa"/>
            <w:tcBorders>
              <w:tl2br w:val="nil"/>
              <w:tr2bl w:val="nil"/>
            </w:tcBorders>
            <w:vAlign w:val="center"/>
          </w:tcPr>
          <w:p>
            <w:pPr>
              <w:jc w:val="center"/>
              <w:rPr>
                <w:rFonts w:hint="eastAsia" w:ascii="宋体" w:hAnsi="宋体" w:eastAsia="宋体" w:cs="宋体"/>
                <w:kern w:val="18"/>
                <w:szCs w:val="21"/>
                <w:lang w:eastAsia="zh-CN"/>
              </w:rPr>
            </w:pPr>
            <w:r>
              <w:rPr>
                <w:rFonts w:hint="eastAsia" w:ascii="宋体" w:hAnsi="宋体" w:eastAsia="宋体" w:cs="宋体"/>
                <w:kern w:val="18"/>
                <w:szCs w:val="21"/>
                <w:lang w:val="en-US" w:eastAsia="zh-CN"/>
              </w:rPr>
              <w:t>赣江</w:t>
            </w:r>
          </w:p>
        </w:tc>
        <w:tc>
          <w:tcPr>
            <w:tcW w:w="1050" w:type="dxa"/>
            <w:tcBorders>
              <w:tl2br w:val="nil"/>
              <w:tr2bl w:val="nil"/>
            </w:tcBorders>
            <w:vAlign w:val="center"/>
          </w:tcPr>
          <w:p>
            <w:pPr>
              <w:jc w:val="center"/>
              <w:rPr>
                <w:rFonts w:hint="default" w:ascii="Times New Roman" w:hAnsi="Times New Roman" w:eastAsia="宋体" w:cs="Times New Roman"/>
                <w:kern w:val="18"/>
                <w:szCs w:val="21"/>
              </w:rPr>
            </w:pPr>
            <w:r>
              <w:rPr>
                <w:rFonts w:hint="default" w:ascii="Times New Roman" w:hAnsi="Times New Roman" w:eastAsia="宋体" w:cs="Times New Roman"/>
                <w:kern w:val="18"/>
                <w:szCs w:val="21"/>
                <w:lang w:val="en-US" w:eastAsia="zh-CN"/>
              </w:rPr>
              <w:t>4.4</w:t>
            </w:r>
            <w:r>
              <w:rPr>
                <w:rFonts w:hint="default" w:ascii="Times New Roman" w:hAnsi="Times New Roman" w:eastAsia="宋体" w:cs="Times New Roman"/>
                <w:kern w:val="18"/>
                <w:szCs w:val="21"/>
              </w:rPr>
              <w:t>km</w:t>
            </w:r>
          </w:p>
        </w:tc>
        <w:tc>
          <w:tcPr>
            <w:tcW w:w="1054"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lang w:val="en-US" w:eastAsia="zh-CN"/>
              </w:rPr>
              <w:t>东</w:t>
            </w:r>
            <w:r>
              <w:rPr>
                <w:rFonts w:hint="eastAsia" w:ascii="宋体" w:hAnsi="宋体" w:eastAsia="宋体" w:cs="宋体"/>
                <w:kern w:val="18"/>
                <w:szCs w:val="21"/>
              </w:rPr>
              <w:t>面</w:t>
            </w:r>
          </w:p>
        </w:tc>
        <w:tc>
          <w:tcPr>
            <w:tcW w:w="1357" w:type="dxa"/>
            <w:tcBorders>
              <w:tl2br w:val="nil"/>
              <w:tr2bl w:val="nil"/>
            </w:tcBorders>
            <w:vAlign w:val="center"/>
          </w:tcPr>
          <w:p>
            <w:pPr>
              <w:jc w:val="center"/>
              <w:rPr>
                <w:rFonts w:ascii="宋体" w:hAnsi="宋体" w:eastAsia="宋体" w:cs="宋体"/>
                <w:kern w:val="18"/>
                <w:szCs w:val="21"/>
              </w:rPr>
            </w:pPr>
            <w:r>
              <w:rPr>
                <w:rFonts w:hint="eastAsia" w:ascii="宋体" w:hAnsi="宋体" w:eastAsia="宋体" w:cs="宋体"/>
                <w:kern w:val="18"/>
                <w:szCs w:val="21"/>
              </w:rPr>
              <w:t>大河</w:t>
            </w:r>
          </w:p>
        </w:tc>
        <w:tc>
          <w:tcPr>
            <w:tcW w:w="2701" w:type="dxa"/>
            <w:tcBorders>
              <w:tl2br w:val="nil"/>
              <w:tr2bl w:val="nil"/>
            </w:tcBorders>
            <w:vAlign w:val="center"/>
          </w:tcPr>
          <w:p>
            <w:pPr>
              <w:jc w:val="center"/>
              <w:rPr>
                <w:rFonts w:hint="default" w:ascii="Times New Roman" w:hAnsi="Times New Roman" w:eastAsia="宋体" w:cs="Times New Roman"/>
                <w:szCs w:val="21"/>
              </w:rPr>
            </w:pPr>
            <w:r>
              <w:rPr>
                <w:rFonts w:hint="default" w:ascii="Times New Roman" w:hAnsi="Times New Roman" w:eastAsia="宋体" w:cs="Times New Roman"/>
                <w:szCs w:val="20"/>
              </w:rPr>
              <w:t>《地表水环境质量标准》(</w:t>
            </w:r>
            <w:r>
              <w:rPr>
                <w:rFonts w:hint="default" w:ascii="Times New Roman" w:hAnsi="Times New Roman" w:eastAsia="宋体" w:cs="Times New Roman"/>
                <w:szCs w:val="21"/>
              </w:rPr>
              <w:t>GB3838-2002</w:t>
            </w:r>
            <w:r>
              <w:rPr>
                <w:rFonts w:hint="default" w:ascii="Times New Roman" w:hAnsi="Times New Roman" w:eastAsia="宋体" w:cs="Times New Roman"/>
                <w:szCs w:val="20"/>
              </w:rPr>
              <w:t>)</w:t>
            </w:r>
            <w:r>
              <w:rPr>
                <w:rFonts w:hint="default" w:ascii="Times New Roman" w:hAnsi="Times New Roman" w:eastAsia="宋体" w:cs="Times New Roman"/>
                <w:szCs w:val="21"/>
              </w:rPr>
              <w:t>中Ⅲ类水体</w:t>
            </w:r>
          </w:p>
          <w:p>
            <w:pPr>
              <w:jc w:val="center"/>
              <w:rPr>
                <w:rFonts w:hint="default" w:ascii="Times New Roman" w:hAnsi="Times New Roman" w:eastAsia="宋体" w:cs="Times New Roman"/>
                <w:kern w:val="18"/>
                <w:szCs w:val="21"/>
              </w:rPr>
            </w:pPr>
            <w:r>
              <w:rPr>
                <w:rFonts w:hint="default" w:ascii="Times New Roman" w:hAnsi="Times New Roman" w:eastAsia="宋体" w:cs="Times New Roman"/>
                <w:szCs w:val="21"/>
              </w:rPr>
              <w:t>标准</w:t>
            </w:r>
          </w:p>
        </w:tc>
      </w:tr>
    </w:tbl>
    <w:p>
      <w:pPr>
        <w:snapToGrid w:val="0"/>
        <w:spacing w:before="163"/>
        <w:jc w:val="both"/>
        <w:rPr>
          <w:rFonts w:ascii="Times New Roman" w:hAnsi="Times New Roman" w:cs="Times New Roman"/>
          <w:b/>
          <w:color w:val="000000" w:themeColor="text1"/>
          <w:szCs w:val="21"/>
        </w:rPr>
      </w:pPr>
      <w:bookmarkStart w:id="178" w:name="_Toc8689_WPSOffice_Level2"/>
      <w:bookmarkStart w:id="179" w:name="_Toc6417_WPSOffice_Level2"/>
      <w:bookmarkStart w:id="180" w:name="_Toc14803_WPSOffice_Level2"/>
      <w:bookmarkStart w:id="181" w:name="_Toc18545_WPSOffice_Level2"/>
      <w:bookmarkStart w:id="182" w:name="_Toc1987"/>
      <w:bookmarkStart w:id="183" w:name="_Toc14471_WPSOffice_Level2"/>
      <w:bookmarkStart w:id="184" w:name="_Toc532817016"/>
    </w:p>
    <w:p>
      <w:pPr>
        <w:snapToGrid w:val="0"/>
        <w:spacing w:before="163"/>
        <w:jc w:val="center"/>
        <w:rPr>
          <w:rFonts w:ascii="Times New Roman" w:hAnsi="Times New Roman" w:cs="Times New Roman"/>
          <w:b/>
          <w:color w:val="000000" w:themeColor="text1"/>
          <w:szCs w:val="21"/>
        </w:rPr>
      </w:pPr>
      <w:r>
        <w:rPr>
          <w:sz w:val="24"/>
        </w:rPr>
        <w:pict>
          <v:shape id="_x0000_s2116" o:spid="_x0000_s2116" o:spt="61" type="#_x0000_t61" style="position:absolute;left:0pt;margin-left:256.05pt;margin-top:205.5pt;height:22.9pt;width:95.35pt;z-index:251806720;mso-width-relative:page;mso-height-relative:page;" filled="f" stroked="t" coordsize="21600,21600" adj="-3134,53415">
            <v:path/>
            <v:fill on="f" focussize="0,0"/>
            <v:stroke weight="2.25pt" color="#C00000" joinstyle="miter"/>
            <v:imagedata o:title=""/>
            <o:lock v:ext="edit" aspectratio="f"/>
            <v:textbox>
              <w:txbxContent>
                <w:p>
                  <w:pPr>
                    <w:rPr>
                      <w:rFonts w:hint="default" w:eastAsiaTheme="minorEastAsia"/>
                      <w:b/>
                      <w:bCs/>
                      <w:sz w:val="24"/>
                      <w:szCs w:val="24"/>
                      <w:highlight w:val="yellow"/>
                      <w:lang w:val="en-US" w:eastAsia="zh-CN"/>
                    </w:rPr>
                  </w:pPr>
                  <w:r>
                    <w:rPr>
                      <w:rFonts w:hint="eastAsia"/>
                      <w:b/>
                      <w:bCs/>
                      <w:sz w:val="24"/>
                      <w:szCs w:val="24"/>
                      <w:highlight w:val="yellow"/>
                      <w:lang w:val="en-US" w:eastAsia="zh-CN"/>
                    </w:rPr>
                    <w:t>项目所在地</w:t>
                  </w:r>
                </w:p>
              </w:txbxContent>
            </v:textbox>
          </v:shape>
        </w:pict>
      </w:r>
      <w:r>
        <w:rPr>
          <w:rFonts w:hint="eastAsia" w:ascii="Times New Roman" w:hAnsi="Times New Roman" w:eastAsia="宋体" w:cs="Times New Roman"/>
          <w:sz w:val="24"/>
          <w:szCs w:val="20"/>
        </w:rPr>
        <w:drawing>
          <wp:anchor distT="0" distB="0" distL="114300" distR="114300" simplePos="0" relativeHeight="251697152" behindDoc="0" locked="0" layoutInCell="1" allowOverlap="1">
            <wp:simplePos x="0" y="0"/>
            <wp:positionH relativeFrom="column">
              <wp:posOffset>5272405</wp:posOffset>
            </wp:positionH>
            <wp:positionV relativeFrom="paragraph">
              <wp:posOffset>105410</wp:posOffset>
            </wp:positionV>
            <wp:extent cx="904875" cy="862330"/>
            <wp:effectExtent l="0" t="0" r="0" b="0"/>
            <wp:wrapNone/>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904875" cy="862459"/>
                    </a:xfrm>
                    <a:prstGeom prst="rect">
                      <a:avLst/>
                    </a:prstGeom>
                    <a:noFill/>
                    <a:ln>
                      <a:noFill/>
                    </a:ln>
                  </pic:spPr>
                </pic:pic>
              </a:graphicData>
            </a:graphic>
          </wp:anchor>
        </w:drawing>
      </w:r>
      <w:r>
        <w:drawing>
          <wp:inline distT="0" distB="0" distL="114300" distR="114300">
            <wp:extent cx="6192520" cy="6282690"/>
            <wp:effectExtent l="0" t="0" r="10160" b="11430"/>
            <wp:docPr id="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4"/>
                    <pic:cNvPicPr>
                      <a:picLocks noChangeAspect="1"/>
                    </pic:cNvPicPr>
                  </pic:nvPicPr>
                  <pic:blipFill>
                    <a:blip r:embed="rId24"/>
                    <a:stretch>
                      <a:fillRect/>
                    </a:stretch>
                  </pic:blipFill>
                  <pic:spPr>
                    <a:xfrm>
                      <a:off x="0" y="0"/>
                      <a:ext cx="6192520" cy="6282690"/>
                    </a:xfrm>
                    <a:prstGeom prst="rect">
                      <a:avLst/>
                    </a:prstGeom>
                    <a:noFill/>
                    <a:ln>
                      <a:noFill/>
                    </a:ln>
                  </pic:spPr>
                </pic:pic>
              </a:graphicData>
            </a:graphic>
          </wp:inline>
        </w:drawing>
      </w:r>
    </w:p>
    <w:p>
      <w:pPr>
        <w:snapToGrid w:val="0"/>
        <w:spacing w:before="163"/>
        <w:jc w:val="center"/>
        <w:rPr>
          <w:rFonts w:ascii="Times New Roman" w:hAnsi="Times New Roman" w:cs="Times New Roman"/>
          <w:b/>
          <w:bCs/>
          <w:color w:val="000000" w:themeColor="text1"/>
          <w:kern w:val="44"/>
          <w:sz w:val="24"/>
          <w:szCs w:val="24"/>
        </w:rPr>
      </w:pPr>
      <w:r>
        <w:rPr>
          <w:rFonts w:ascii="Times New Roman" w:hAnsi="Times New Roman" w:cs="Times New Roman"/>
          <w:b/>
          <w:color w:val="000000" w:themeColor="text1"/>
          <w:szCs w:val="21"/>
        </w:rPr>
        <w:t>图2-2 周边环境敏感点示意图</w:t>
      </w:r>
    </w:p>
    <w:p>
      <w:pPr>
        <w:keepNext/>
        <w:keepLines/>
        <w:spacing w:beforeLines="100" w:afterLines="100" w:line="360" w:lineRule="auto"/>
        <w:jc w:val="left"/>
        <w:outlineLvl w:val="1"/>
        <w:rPr>
          <w:rFonts w:ascii="Times New Roman" w:hAnsi="Times New Roman" w:cs="Times New Roman"/>
          <w:b/>
          <w:bCs/>
          <w:color w:val="000000" w:themeColor="text1"/>
          <w:kern w:val="44"/>
          <w:sz w:val="24"/>
          <w:szCs w:val="24"/>
        </w:rPr>
      </w:pPr>
      <w:bookmarkStart w:id="185" w:name="_Toc23588"/>
      <w:r>
        <w:rPr>
          <w:rFonts w:ascii="Times New Roman" w:hAnsi="Times New Roman" w:cs="Times New Roman"/>
          <w:b/>
          <w:bCs/>
          <w:color w:val="000000" w:themeColor="text1"/>
          <w:kern w:val="44"/>
          <w:sz w:val="24"/>
          <w:szCs w:val="24"/>
        </w:rPr>
        <w:t>2.4 加油站平面布置</w:t>
      </w:r>
      <w:bookmarkEnd w:id="178"/>
      <w:bookmarkEnd w:id="179"/>
      <w:bookmarkEnd w:id="180"/>
      <w:bookmarkEnd w:id="181"/>
      <w:bookmarkEnd w:id="182"/>
      <w:bookmarkEnd w:id="183"/>
      <w:bookmarkEnd w:id="184"/>
      <w:bookmarkEnd w:id="185"/>
    </w:p>
    <w:p>
      <w:pPr>
        <w:spacing w:line="360" w:lineRule="auto"/>
        <w:ind w:firstLine="480" w:firstLineChars="200"/>
      </w:pPr>
      <w:r>
        <w:rPr>
          <w:rFonts w:ascii="Times New Roman" w:hAnsi="Times New Roman" w:cs="Times New Roman"/>
          <w:color w:val="000000" w:themeColor="text1"/>
          <w:sz w:val="24"/>
          <w:szCs w:val="24"/>
          <w:lang w:val="zh-CN"/>
        </w:rPr>
        <w:t>根据现场踏勘，加油站</w:t>
      </w:r>
      <w:r>
        <w:rPr>
          <w:rFonts w:ascii="Times New Roman" w:hAnsi="Times New Roman" w:cs="Times New Roman"/>
          <w:color w:val="000000" w:themeColor="text1"/>
          <w:sz w:val="24"/>
          <w:szCs w:val="24"/>
        </w:rPr>
        <w:t>位于</w:t>
      </w:r>
      <w:r>
        <w:rPr>
          <w:rFonts w:hint="eastAsia" w:asciiTheme="minorEastAsia" w:hAnsiTheme="minorEastAsia" w:eastAsiaTheme="minorEastAsia" w:cstheme="minorEastAsia"/>
          <w:color w:val="000000"/>
          <w:sz w:val="24"/>
          <w:szCs w:val="24"/>
        </w:rPr>
        <w:t>江西省南昌市</w:t>
      </w:r>
      <w:r>
        <w:rPr>
          <w:rStyle w:val="36"/>
          <w:rFonts w:hint="eastAsia" w:asciiTheme="minorEastAsia" w:hAnsiTheme="minorEastAsia" w:eastAsiaTheme="minorEastAsia" w:cstheme="minorEastAsia"/>
          <w:kern w:val="0"/>
          <w:sz w:val="24"/>
          <w:szCs w:val="24"/>
        </w:rPr>
        <w:t>双港大道与庐山大道交汇处</w:t>
      </w:r>
      <w:r>
        <w:rPr>
          <w:rFonts w:hint="eastAsia" w:ascii="Times New Roman" w:hAnsi="Times New Roman" w:cs="Times New Roman"/>
          <w:bCs/>
          <w:color w:val="000000" w:themeColor="text1"/>
          <w:sz w:val="24"/>
          <w:szCs w:val="24"/>
        </w:rPr>
        <w:t>，</w:t>
      </w:r>
      <w:r>
        <w:rPr>
          <w:rFonts w:ascii="Times New Roman" w:hAnsi="Times New Roman" w:cs="Times New Roman"/>
          <w:color w:val="000000" w:themeColor="text1"/>
          <w:sz w:val="24"/>
          <w:szCs w:val="24"/>
          <w:lang w:val="zh-CN"/>
        </w:rPr>
        <w:t>加油站占地面积约</w:t>
      </w:r>
      <w:r>
        <w:rPr>
          <w:rFonts w:hint="eastAsia" w:ascii="Times New Roman" w:hAnsi="Times New Roman" w:cs="Times New Roman"/>
          <w:color w:val="000000" w:themeColor="text1"/>
          <w:sz w:val="24"/>
          <w:szCs w:val="24"/>
          <w:lang w:val="en-US" w:eastAsia="zh-CN"/>
        </w:rPr>
        <w:t>6400</w:t>
      </w:r>
      <w:r>
        <w:rPr>
          <w:rFonts w:ascii="Times New Roman" w:hAnsi="Times New Roman" w:cs="Times New Roman"/>
          <w:color w:val="000000" w:themeColor="text1"/>
          <w:sz w:val="24"/>
          <w:szCs w:val="24"/>
          <w:lang w:val="zh-CN"/>
        </w:rPr>
        <w:t>m</w:t>
      </w:r>
      <w:r>
        <w:rPr>
          <w:rFonts w:ascii="Times New Roman" w:hAnsi="Times New Roman" w:cs="Times New Roman"/>
          <w:color w:val="000000" w:themeColor="text1"/>
          <w:sz w:val="24"/>
          <w:szCs w:val="24"/>
          <w:vertAlign w:val="superscript"/>
          <w:lang w:val="zh-CN"/>
        </w:rPr>
        <w:t>2</w:t>
      </w:r>
      <w:r>
        <w:rPr>
          <w:rFonts w:ascii="Times New Roman" w:hAnsi="Times New Roman" w:cs="Times New Roman"/>
          <w:color w:val="000000" w:themeColor="text1"/>
          <w:sz w:val="24"/>
          <w:szCs w:val="24"/>
          <w:lang w:val="zh-CN"/>
        </w:rPr>
        <w:t>，建筑面积约为</w:t>
      </w:r>
      <w:r>
        <w:rPr>
          <w:rFonts w:hint="eastAsia" w:ascii="Times New Roman" w:hAnsi="Times New Roman" w:cs="Times New Roman"/>
          <w:color w:val="000000" w:themeColor="text1"/>
          <w:sz w:val="24"/>
          <w:szCs w:val="24"/>
          <w:lang w:val="en-US" w:eastAsia="zh-CN"/>
        </w:rPr>
        <w:t>1900</w:t>
      </w:r>
      <w:r>
        <w:rPr>
          <w:rFonts w:ascii="Times New Roman" w:hAnsi="Times New Roman" w:cs="Times New Roman"/>
          <w:color w:val="000000" w:themeColor="text1"/>
          <w:sz w:val="24"/>
          <w:szCs w:val="24"/>
          <w:lang w:val="zh-CN"/>
        </w:rPr>
        <w:t>m</w:t>
      </w:r>
      <w:r>
        <w:rPr>
          <w:rFonts w:ascii="Times New Roman" w:hAnsi="Times New Roman" w:cs="Times New Roman"/>
          <w:color w:val="000000" w:themeColor="text1"/>
          <w:sz w:val="24"/>
          <w:szCs w:val="24"/>
          <w:vertAlign w:val="superscript"/>
          <w:lang w:val="zh-CN"/>
        </w:rPr>
        <w:t>2</w:t>
      </w:r>
      <w:r>
        <w:rPr>
          <w:rFonts w:ascii="Times New Roman" w:hAnsi="Times New Roman" w:cs="Times New Roman"/>
          <w:color w:val="000000" w:themeColor="text1"/>
          <w:sz w:val="24"/>
          <w:szCs w:val="24"/>
          <w:lang w:val="zh-CN"/>
        </w:rPr>
        <w:t>。项目主要分为三个区，分别为</w:t>
      </w:r>
      <w:r>
        <w:rPr>
          <w:rFonts w:hint="eastAsia" w:ascii="宋体" w:hAnsi="宋体" w:eastAsia="宋体" w:cs="宋体"/>
          <w:color w:val="000000" w:themeColor="text1"/>
          <w:sz w:val="24"/>
          <w:szCs w:val="24"/>
          <w:lang w:val="zh-CN"/>
        </w:rPr>
        <w:t>①</w:t>
      </w:r>
      <w:r>
        <w:rPr>
          <w:rFonts w:ascii="Times New Roman" w:hAnsi="Times New Roman" w:cs="Times New Roman"/>
          <w:color w:val="000000" w:themeColor="text1"/>
          <w:sz w:val="24"/>
          <w:szCs w:val="24"/>
          <w:lang w:val="zh-CN"/>
        </w:rPr>
        <w:t>储油罐区</w:t>
      </w:r>
      <w:r>
        <w:rPr>
          <w:rFonts w:hint="eastAsia" w:ascii="宋体" w:hAnsi="宋体" w:eastAsia="宋体" w:cs="宋体"/>
          <w:color w:val="000000" w:themeColor="text1"/>
          <w:sz w:val="24"/>
          <w:szCs w:val="24"/>
          <w:lang w:val="zh-CN"/>
        </w:rPr>
        <w:t>②</w:t>
      </w:r>
      <w:r>
        <w:rPr>
          <w:rFonts w:ascii="Times New Roman" w:hAnsi="Times New Roman" w:cs="Times New Roman"/>
          <w:color w:val="000000" w:themeColor="text1"/>
          <w:sz w:val="24"/>
          <w:szCs w:val="24"/>
          <w:lang w:val="zh-CN"/>
        </w:rPr>
        <w:t>营业区</w:t>
      </w:r>
      <w:r>
        <w:rPr>
          <w:rFonts w:hint="eastAsia" w:ascii="宋体" w:hAnsi="宋体" w:eastAsia="宋体" w:cs="宋体"/>
          <w:color w:val="000000" w:themeColor="text1"/>
          <w:sz w:val="24"/>
          <w:szCs w:val="24"/>
          <w:lang w:val="zh-CN"/>
        </w:rPr>
        <w:t>③</w:t>
      </w:r>
      <w:r>
        <w:rPr>
          <w:rFonts w:ascii="Times New Roman" w:hAnsi="Times New Roman" w:cs="Times New Roman"/>
          <w:color w:val="000000" w:themeColor="text1"/>
          <w:sz w:val="24"/>
          <w:szCs w:val="24"/>
          <w:lang w:val="zh-CN"/>
        </w:rPr>
        <w:t>加油区。储油罐区包括储罐区、卸油区；营业区包括站房、便利店、辅助用房及卫生间等；加油区即为加油机所在区。</w:t>
      </w:r>
      <w:r>
        <w:rPr>
          <w:rFonts w:hint="eastAsia" w:ascii="Times New Roman" w:hAnsi="Times New Roman" w:cs="Times New Roman"/>
          <w:color w:val="000000" w:themeColor="text1"/>
          <w:sz w:val="24"/>
          <w:szCs w:val="24"/>
        </w:rPr>
        <w:t>加油区即为加油机所在区。项目储罐区建设有</w:t>
      </w:r>
      <w:r>
        <w:rPr>
          <w:rFonts w:hint="eastAsia" w:ascii="Times New Roman" w:hAnsi="Times New Roman" w:cs="Times New Roman"/>
          <w:color w:val="000000" w:themeColor="text1"/>
          <w:sz w:val="24"/>
          <w:szCs w:val="24"/>
          <w:lang w:val="en-US" w:eastAsia="zh-CN"/>
        </w:rPr>
        <w:t>5</w:t>
      </w:r>
      <w:r>
        <w:rPr>
          <w:rFonts w:hint="eastAsia" w:ascii="Times New Roman" w:hAnsi="Times New Roman" w:cs="Times New Roman"/>
          <w:color w:val="000000" w:themeColor="text1"/>
          <w:sz w:val="24"/>
          <w:szCs w:val="24"/>
        </w:rPr>
        <w:t>个地埋卧式油罐，</w:t>
      </w:r>
      <w:r>
        <w:rPr>
          <w:color w:val="000000"/>
          <w:sz w:val="24"/>
        </w:rPr>
        <w:t>包</w:t>
      </w:r>
      <w:r>
        <w:rPr>
          <w:rFonts w:ascii="Times New Roman" w:hAnsi="Times New Roman" w:cs="Times New Roman"/>
          <w:color w:val="000000" w:themeColor="text1"/>
          <w:sz w:val="24"/>
          <w:szCs w:val="24"/>
        </w:rPr>
        <w:t>包括0#柴油油罐</w:t>
      </w:r>
      <w:r>
        <w:rPr>
          <w:rFonts w:hint="eastAsia" w:ascii="Times New Roman" w:hAnsi="Times New Roman" w:cs="Times New Roman"/>
          <w:color w:val="000000" w:themeColor="text1"/>
          <w:sz w:val="24"/>
          <w:szCs w:val="24"/>
          <w:lang w:val="en-US" w:eastAsia="zh-CN"/>
        </w:rPr>
        <w:t>2</w:t>
      </w:r>
      <w:r>
        <w:rPr>
          <w:rFonts w:ascii="Times New Roman" w:hAnsi="Times New Roman" w:cs="Times New Roman"/>
          <w:color w:val="000000" w:themeColor="text1"/>
          <w:sz w:val="24"/>
          <w:szCs w:val="24"/>
        </w:rPr>
        <w:t>台、93#汽油油罐</w:t>
      </w:r>
      <w:r>
        <w:rPr>
          <w:rFonts w:hint="eastAsia" w:ascii="Times New Roman" w:hAnsi="Times New Roman" w:cs="Times New Roman"/>
          <w:color w:val="000000" w:themeColor="text1"/>
          <w:sz w:val="24"/>
          <w:szCs w:val="24"/>
          <w:lang w:val="en-US" w:eastAsia="zh-CN"/>
        </w:rPr>
        <w:t>2台</w:t>
      </w:r>
      <w:r>
        <w:rPr>
          <w:rFonts w:ascii="Times New Roman" w:hAnsi="Times New Roman" w:cs="Times New Roman"/>
          <w:color w:val="000000" w:themeColor="text1"/>
          <w:sz w:val="24"/>
          <w:szCs w:val="24"/>
        </w:rPr>
        <w:t>，9</w:t>
      </w:r>
      <w:r>
        <w:rPr>
          <w:rFonts w:hint="eastAsia" w:ascii="Times New Roman" w:hAnsi="Times New Roman" w:cs="Times New Roman"/>
          <w:color w:val="000000" w:themeColor="text1"/>
          <w:sz w:val="24"/>
          <w:szCs w:val="24"/>
          <w:lang w:val="en-US" w:eastAsia="zh-CN"/>
        </w:rPr>
        <w:t>7</w:t>
      </w:r>
      <w:r>
        <w:rPr>
          <w:rFonts w:ascii="Times New Roman" w:hAnsi="Times New Roman" w:cs="Times New Roman"/>
          <w:color w:val="000000" w:themeColor="text1"/>
          <w:sz w:val="24"/>
          <w:szCs w:val="24"/>
        </w:rPr>
        <w:t>#汽油油罐</w:t>
      </w:r>
      <w:r>
        <w:rPr>
          <w:rFonts w:hint="eastAsia" w:ascii="Times New Roman" w:hAnsi="Times New Roman" w:cs="Times New Roman"/>
          <w:color w:val="000000" w:themeColor="text1"/>
          <w:sz w:val="24"/>
          <w:szCs w:val="24"/>
          <w:lang w:val="en-US" w:eastAsia="zh-CN"/>
        </w:rPr>
        <w:t>1台</w:t>
      </w:r>
      <w:r>
        <w:rPr>
          <w:rFonts w:ascii="Times New Roman" w:hAnsi="Times New Roman" w:cs="Times New Roman"/>
          <w:color w:val="000000" w:themeColor="text1"/>
          <w:sz w:val="24"/>
          <w:szCs w:val="24"/>
        </w:rPr>
        <w:t>，总容积折合为</w:t>
      </w:r>
      <w:r>
        <w:rPr>
          <w:rFonts w:hint="eastAsia" w:ascii="Times New Roman" w:hAnsi="Times New Roman" w:cs="Times New Roman"/>
          <w:color w:val="000000" w:themeColor="text1"/>
          <w:sz w:val="24"/>
          <w:szCs w:val="24"/>
          <w:lang w:val="en-US" w:eastAsia="zh-CN"/>
        </w:rPr>
        <w:t>120</w:t>
      </w:r>
      <w:r>
        <w:rPr>
          <w:rFonts w:ascii="Times New Roman" w:hAnsi="Times New Roman" w:cs="Times New Roman"/>
          <w:color w:val="000000" w:themeColor="text1"/>
          <w:sz w:val="24"/>
          <w:szCs w:val="24"/>
        </w:rPr>
        <w:t>m</w:t>
      </w:r>
      <w:r>
        <w:rPr>
          <w:rFonts w:ascii="Times New Roman" w:hAnsi="Times New Roman" w:cs="Times New Roman"/>
          <w:color w:val="000000" w:themeColor="text1"/>
          <w:sz w:val="24"/>
          <w:szCs w:val="24"/>
          <w:vertAlign w:val="superscript"/>
        </w:rPr>
        <w:t>3</w:t>
      </w:r>
      <w:r>
        <w:rPr>
          <w:rFonts w:hint="eastAsia" w:ascii="Times New Roman" w:hAnsi="Times New Roman" w:cs="Times New Roman"/>
          <w:color w:val="000000" w:themeColor="text1"/>
          <w:sz w:val="24"/>
          <w:szCs w:val="24"/>
          <w:lang w:eastAsia="zh-CN"/>
        </w:rPr>
        <w:t>（</w:t>
      </w:r>
      <w:r>
        <w:rPr>
          <w:rFonts w:hint="eastAsia" w:ascii="Times New Roman" w:hAnsi="Times New Roman" w:cs="Times New Roman"/>
          <w:color w:val="000000" w:themeColor="text1"/>
          <w:sz w:val="24"/>
          <w:szCs w:val="24"/>
          <w:lang w:val="en-US" w:eastAsia="zh-CN"/>
        </w:rPr>
        <w:t>柴油折半计算</w:t>
      </w:r>
      <w:r>
        <w:rPr>
          <w:rFonts w:hint="eastAsia" w:ascii="Times New Roman" w:hAnsi="Times New Roman" w:cs="Times New Roman"/>
          <w:color w:val="000000" w:themeColor="text1"/>
          <w:sz w:val="24"/>
          <w:szCs w:val="24"/>
          <w:lang w:eastAsia="zh-CN"/>
        </w:rPr>
        <w:t>）</w:t>
      </w:r>
      <w:r>
        <w:rPr>
          <w:rFonts w:ascii="Times New Roman" w:hAnsi="Times New Roman" w:cs="Times New Roman"/>
          <w:color w:val="000000" w:themeColor="text1"/>
          <w:sz w:val="24"/>
          <w:szCs w:val="24"/>
        </w:rPr>
        <w:t>，为</w:t>
      </w:r>
      <w:r>
        <w:rPr>
          <w:rFonts w:hint="eastAsia" w:ascii="Times New Roman" w:hAnsi="Times New Roman" w:cs="Times New Roman"/>
          <w:color w:val="000000" w:themeColor="text1"/>
          <w:sz w:val="24"/>
          <w:szCs w:val="24"/>
          <w:lang w:val="en-US" w:eastAsia="zh-CN"/>
        </w:rPr>
        <w:t>二</w:t>
      </w:r>
      <w:r>
        <w:rPr>
          <w:rFonts w:ascii="Times New Roman" w:hAnsi="Times New Roman" w:cs="Times New Roman"/>
          <w:color w:val="000000" w:themeColor="text1"/>
          <w:sz w:val="24"/>
          <w:szCs w:val="24"/>
        </w:rPr>
        <w:t>级加油站</w:t>
      </w:r>
      <w:r>
        <w:rPr>
          <w:rFonts w:hint="eastAsia" w:ascii="Times New Roman" w:hAnsi="Times New Roman" w:cs="Times New Roman"/>
          <w:color w:val="000000" w:themeColor="text1"/>
          <w:sz w:val="24"/>
          <w:szCs w:val="24"/>
          <w:lang w:eastAsia="zh-CN"/>
        </w:rPr>
        <w:t>，</w:t>
      </w:r>
      <w:r>
        <w:rPr>
          <w:color w:val="000000"/>
          <w:sz w:val="24"/>
        </w:rPr>
        <w:t>配设</w:t>
      </w:r>
      <w:r>
        <w:rPr>
          <w:rFonts w:hint="default" w:ascii="Times New Roman" w:hAnsi="Times New Roman" w:cs="Times New Roman"/>
          <w:color w:val="000000"/>
          <w:sz w:val="24"/>
          <w:lang w:val="en-US" w:eastAsia="zh-CN"/>
        </w:rPr>
        <w:t>6</w:t>
      </w:r>
      <w:r>
        <w:rPr>
          <w:color w:val="000000"/>
          <w:sz w:val="24"/>
        </w:rPr>
        <w:t>台双枪加油机</w:t>
      </w:r>
      <w:r>
        <w:rPr>
          <w:rFonts w:hint="eastAsia"/>
          <w:color w:val="000000"/>
          <w:sz w:val="24"/>
          <w:lang w:val="en-US" w:eastAsia="zh-CN"/>
        </w:rPr>
        <w:t>。</w:t>
      </w:r>
      <w:r>
        <w:rPr>
          <w:rFonts w:hint="eastAsia" w:ascii="Times New Roman" w:hAnsi="Times New Roman" w:cs="Times New Roman"/>
          <w:bCs/>
          <w:color w:val="000000" w:themeColor="text1"/>
          <w:kern w:val="0"/>
          <w:sz w:val="24"/>
          <w:szCs w:val="24"/>
        </w:rPr>
        <w:t>加油区布置在站区中部靠近向</w:t>
      </w:r>
      <w:r>
        <w:rPr>
          <w:rFonts w:hint="eastAsia" w:ascii="Times New Roman" w:hAnsi="Times New Roman" w:cs="Times New Roman"/>
          <w:bCs/>
          <w:color w:val="000000" w:themeColor="text1"/>
          <w:kern w:val="0"/>
          <w:sz w:val="24"/>
          <w:szCs w:val="24"/>
          <w:lang w:val="en-US" w:eastAsia="zh-CN"/>
        </w:rPr>
        <w:t>双港西大街</w:t>
      </w:r>
      <w:r>
        <w:rPr>
          <w:rFonts w:hint="eastAsia" w:ascii="Times New Roman" w:hAnsi="Times New Roman" w:cs="Times New Roman"/>
          <w:bCs/>
          <w:color w:val="000000" w:themeColor="text1"/>
          <w:kern w:val="0"/>
          <w:sz w:val="24"/>
          <w:szCs w:val="24"/>
        </w:rPr>
        <w:t>的位置便于经营，储罐区位于站区的</w:t>
      </w:r>
      <w:r>
        <w:rPr>
          <w:rFonts w:hint="eastAsia" w:ascii="Times New Roman" w:hAnsi="Times New Roman" w:cs="Times New Roman"/>
          <w:bCs/>
          <w:color w:val="000000" w:themeColor="text1"/>
          <w:kern w:val="0"/>
          <w:sz w:val="24"/>
          <w:szCs w:val="24"/>
          <w:lang w:val="en-US" w:eastAsia="zh-CN"/>
        </w:rPr>
        <w:t>西北</w:t>
      </w:r>
      <w:r>
        <w:rPr>
          <w:rFonts w:hint="eastAsia" w:ascii="Times New Roman" w:hAnsi="Times New Roman" w:cs="Times New Roman"/>
          <w:bCs/>
          <w:color w:val="000000" w:themeColor="text1"/>
          <w:kern w:val="0"/>
          <w:sz w:val="24"/>
          <w:szCs w:val="24"/>
        </w:rPr>
        <w:t>侧，站房位于站区的</w:t>
      </w:r>
      <w:r>
        <w:rPr>
          <w:rFonts w:hint="eastAsia" w:ascii="Times New Roman" w:hAnsi="Times New Roman" w:cs="Times New Roman"/>
          <w:bCs/>
          <w:color w:val="000000" w:themeColor="text1"/>
          <w:kern w:val="0"/>
          <w:sz w:val="24"/>
          <w:szCs w:val="24"/>
          <w:lang w:val="en-US" w:eastAsia="zh-CN"/>
        </w:rPr>
        <w:t>北</w:t>
      </w:r>
      <w:r>
        <w:rPr>
          <w:rFonts w:hint="eastAsia" w:ascii="Times New Roman" w:hAnsi="Times New Roman" w:cs="Times New Roman"/>
          <w:bCs/>
          <w:color w:val="000000" w:themeColor="text1"/>
          <w:kern w:val="0"/>
          <w:sz w:val="24"/>
          <w:szCs w:val="24"/>
        </w:rPr>
        <w:t>侧。</w:t>
      </w:r>
      <w:r>
        <w:rPr>
          <w:rFonts w:ascii="Times New Roman" w:hAnsi="Times New Roman" w:cs="Times New Roman"/>
          <w:bCs/>
          <w:color w:val="000000" w:themeColor="text1"/>
          <w:kern w:val="0"/>
          <w:sz w:val="24"/>
          <w:szCs w:val="24"/>
        </w:rPr>
        <w:t>站场地全部采用水泥硬化路面，采用环形道路布置，方便来往车辆进行加油作业，同时将各个建筑紧密的联系起来，形成一个有机的整体。从项目平面布置图来看，项目加油站油罐区与加油区，分开设置，加油站内各设施的安全间距满足《汽车加气加气站设计与施工规范》（GB50156-2012）表5.0.13的相关规范要求，因此站区平面布置是相对合理的。</w:t>
      </w:r>
      <w:r>
        <w:rPr>
          <w:rFonts w:ascii="Times New Roman" w:hAnsi="Times New Roman" w:cs="Times New Roman"/>
          <w:sz w:val="24"/>
          <w:szCs w:val="24"/>
          <w:lang w:val="zh-CN"/>
        </w:rPr>
        <w:t>项目平面布置图见图2</w:t>
      </w:r>
      <w:r>
        <w:rPr>
          <w:rFonts w:ascii="Times New Roman" w:hAnsi="Times New Roman" w:cs="Times New Roman"/>
          <w:sz w:val="24"/>
          <w:szCs w:val="24"/>
        </w:rPr>
        <w:t>-3</w:t>
      </w:r>
      <w:r>
        <w:rPr>
          <w:rFonts w:ascii="Times New Roman" w:hAnsi="Times New Roman" w:cs="Times New Roman"/>
          <w:sz w:val="24"/>
          <w:szCs w:val="24"/>
          <w:lang w:val="zh-CN"/>
        </w:rPr>
        <w:t>。</w:t>
      </w:r>
    </w:p>
    <w:p>
      <w:pPr>
        <w:overflowPunct w:val="0"/>
        <w:topLinePunct/>
        <w:spacing w:line="360" w:lineRule="auto"/>
        <w:jc w:val="both"/>
        <w:rPr>
          <w:lang w:val="zh-CN"/>
        </w:rPr>
      </w:pPr>
      <w:r>
        <w:drawing>
          <wp:inline distT="0" distB="0" distL="114300" distR="114300">
            <wp:extent cx="6214110" cy="3948430"/>
            <wp:effectExtent l="0" t="0" r="3810" b="1397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25"/>
                    <a:stretch>
                      <a:fillRect/>
                    </a:stretch>
                  </pic:blipFill>
                  <pic:spPr>
                    <a:xfrm>
                      <a:off x="0" y="0"/>
                      <a:ext cx="6214110" cy="3948430"/>
                    </a:xfrm>
                    <a:prstGeom prst="rect">
                      <a:avLst/>
                    </a:prstGeom>
                    <a:noFill/>
                    <a:ln>
                      <a:noFill/>
                    </a:ln>
                  </pic:spPr>
                </pic:pic>
              </a:graphicData>
            </a:graphic>
          </wp:inline>
        </w:drawing>
      </w:r>
    </w:p>
    <w:p>
      <w:pPr>
        <w:overflowPunct w:val="0"/>
        <w:topLinePunct/>
        <w:spacing w:line="360" w:lineRule="auto"/>
        <w:ind w:firstLine="2845" w:firstLineChars="1300"/>
        <w:jc w:val="left"/>
        <w:rPr>
          <w:rFonts w:ascii="Times New Roman" w:hAnsi="Times New Roman" w:cs="Times New Roman"/>
          <w:b/>
          <w:bCs/>
          <w:color w:val="000000" w:themeColor="text1"/>
          <w:spacing w:val="4"/>
          <w:szCs w:val="21"/>
          <w:lang w:val="zh-CN"/>
        </w:rPr>
      </w:pPr>
      <w:r>
        <w:rPr>
          <w:rFonts w:ascii="Times New Roman" w:hAnsi="Times New Roman" w:cs="Times New Roman"/>
          <w:b/>
          <w:bCs/>
          <w:color w:val="000000" w:themeColor="text1"/>
          <w:spacing w:val="4"/>
          <w:szCs w:val="21"/>
          <w:lang w:val="zh-CN"/>
        </w:rPr>
        <w:t>图2</w:t>
      </w:r>
      <w:r>
        <w:rPr>
          <w:rFonts w:ascii="Times New Roman" w:hAnsi="Times New Roman" w:cs="Times New Roman"/>
          <w:b/>
          <w:bCs/>
          <w:color w:val="000000" w:themeColor="text1"/>
          <w:spacing w:val="4"/>
          <w:szCs w:val="21"/>
        </w:rPr>
        <w:t xml:space="preserve">-3 </w:t>
      </w:r>
      <w:r>
        <w:rPr>
          <w:rFonts w:ascii="Times New Roman" w:hAnsi="Times New Roman" w:cs="Times New Roman"/>
          <w:b/>
          <w:bCs/>
          <w:color w:val="000000" w:themeColor="text1"/>
          <w:spacing w:val="4"/>
          <w:szCs w:val="21"/>
          <w:lang w:val="zh-CN"/>
        </w:rPr>
        <w:t>加油站平面布置图</w:t>
      </w:r>
    </w:p>
    <w:p>
      <w:pPr>
        <w:keepNext/>
        <w:keepLines/>
        <w:spacing w:beforeLines="100" w:afterLines="100" w:line="500" w:lineRule="exact"/>
        <w:jc w:val="left"/>
        <w:outlineLvl w:val="1"/>
        <w:rPr>
          <w:rFonts w:ascii="Times New Roman" w:hAnsi="Times New Roman" w:cs="Times New Roman"/>
          <w:b/>
          <w:bCs/>
          <w:color w:val="000000" w:themeColor="text1"/>
          <w:kern w:val="44"/>
          <w:sz w:val="24"/>
          <w:szCs w:val="24"/>
        </w:rPr>
      </w:pPr>
      <w:bookmarkStart w:id="186" w:name="_Toc12126_WPSOffice_Level2"/>
      <w:bookmarkStart w:id="187" w:name="_Toc29921_WPSOffice_Level2"/>
      <w:bookmarkStart w:id="188" w:name="_Toc9309_WPSOffice_Level2"/>
      <w:bookmarkStart w:id="189" w:name="_Toc30888_WPSOffice_Level2"/>
      <w:bookmarkStart w:id="190" w:name="_Toc22505"/>
      <w:bookmarkStart w:id="191" w:name="_Toc5698_WPSOffice_Level2"/>
    </w:p>
    <w:p>
      <w:pPr>
        <w:keepNext/>
        <w:keepLines/>
        <w:spacing w:beforeLines="100" w:afterLines="100" w:line="500" w:lineRule="exact"/>
        <w:jc w:val="left"/>
        <w:outlineLvl w:val="1"/>
        <w:rPr>
          <w:rFonts w:ascii="Times New Roman" w:hAnsi="Times New Roman" w:cs="Times New Roman"/>
          <w:b/>
          <w:bCs/>
          <w:color w:val="000000" w:themeColor="text1"/>
          <w:kern w:val="44"/>
          <w:sz w:val="24"/>
          <w:szCs w:val="24"/>
        </w:rPr>
      </w:pPr>
      <w:bookmarkStart w:id="192" w:name="_Toc11769"/>
      <w:r>
        <w:rPr>
          <w:rFonts w:ascii="Times New Roman" w:hAnsi="Times New Roman" w:cs="Times New Roman"/>
          <w:b/>
          <w:bCs/>
          <w:color w:val="000000" w:themeColor="text1"/>
          <w:kern w:val="44"/>
          <w:sz w:val="24"/>
          <w:szCs w:val="24"/>
        </w:rPr>
        <w:t>2.5加油站工艺流程基本情况</w:t>
      </w:r>
      <w:bookmarkEnd w:id="186"/>
      <w:bookmarkEnd w:id="187"/>
      <w:bookmarkEnd w:id="188"/>
      <w:bookmarkEnd w:id="189"/>
      <w:bookmarkEnd w:id="190"/>
      <w:bookmarkEnd w:id="191"/>
      <w:bookmarkEnd w:id="192"/>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193" w:name="_Toc532817018"/>
      <w:bookmarkStart w:id="194" w:name="_Toc23733_WPSOffice_Level3"/>
      <w:bookmarkStart w:id="195" w:name="_Toc5122"/>
      <w:bookmarkStart w:id="196" w:name="_Toc6417_WPSOffice_Level3"/>
      <w:bookmarkStart w:id="197" w:name="_Toc18545_WPSOffice_Level3"/>
      <w:bookmarkStart w:id="198" w:name="_Toc14471_WPSOffice_Level3"/>
      <w:bookmarkStart w:id="199" w:name="_Toc8689_WPSOffice_Level3"/>
      <w:bookmarkStart w:id="200" w:name="_Toc544"/>
      <w:r>
        <w:rPr>
          <w:rFonts w:ascii="Times New Roman" w:hAnsi="Times New Roman" w:cs="Times New Roman"/>
          <w:b/>
          <w:bCs/>
          <w:color w:val="000000" w:themeColor="text1"/>
          <w:kern w:val="44"/>
          <w:sz w:val="24"/>
          <w:szCs w:val="24"/>
        </w:rPr>
        <w:t>2.5.1油品消耗</w:t>
      </w:r>
      <w:bookmarkEnd w:id="193"/>
      <w:bookmarkEnd w:id="194"/>
      <w:bookmarkEnd w:id="195"/>
      <w:bookmarkEnd w:id="196"/>
      <w:bookmarkEnd w:id="197"/>
      <w:bookmarkEnd w:id="198"/>
      <w:bookmarkEnd w:id="199"/>
      <w:bookmarkEnd w:id="200"/>
    </w:p>
    <w:p>
      <w:pPr>
        <w:spacing w:line="500" w:lineRule="exact"/>
        <w:ind w:firstLine="482"/>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加油站主要经营汽油、柴油，加油站年经营规模为汽油</w:t>
      </w:r>
      <w:r>
        <w:rPr>
          <w:rFonts w:hint="eastAsia" w:ascii="Times New Roman" w:hAnsi="Times New Roman" w:cs="Times New Roman"/>
          <w:color w:val="000000" w:themeColor="text1"/>
          <w:sz w:val="24"/>
          <w:szCs w:val="24"/>
          <w:lang w:val="en-US" w:eastAsia="zh-CN"/>
        </w:rPr>
        <w:t>3750</w:t>
      </w:r>
      <w:r>
        <w:rPr>
          <w:rFonts w:ascii="Times New Roman" w:hAnsi="Times New Roman" w:cs="Times New Roman"/>
          <w:color w:val="000000" w:themeColor="text1"/>
          <w:sz w:val="24"/>
          <w:szCs w:val="24"/>
        </w:rPr>
        <w:t>/a，柴油</w:t>
      </w:r>
      <w:r>
        <w:rPr>
          <w:rFonts w:hint="eastAsia" w:ascii="Times New Roman" w:hAnsi="Times New Roman" w:cs="Times New Roman"/>
          <w:color w:val="000000" w:themeColor="text1"/>
          <w:sz w:val="24"/>
          <w:szCs w:val="24"/>
          <w:lang w:val="en-US" w:eastAsia="zh-CN"/>
        </w:rPr>
        <w:t>30</w:t>
      </w:r>
      <w:r>
        <w:rPr>
          <w:rFonts w:ascii="Times New Roman" w:hAnsi="Times New Roman" w:cs="Times New Roman"/>
          <w:color w:val="000000" w:themeColor="text1"/>
          <w:sz w:val="24"/>
          <w:szCs w:val="24"/>
        </w:rPr>
        <w:t>00t/a。</w:t>
      </w:r>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201" w:name="_Toc5698_WPSOffice_Level3"/>
      <w:bookmarkStart w:id="202" w:name="_Toc23302"/>
      <w:bookmarkStart w:id="203" w:name="_Toc12126_WPSOffice_Level3"/>
      <w:bookmarkStart w:id="204" w:name="_Toc29921_WPSOffice_Level3"/>
      <w:bookmarkStart w:id="205" w:name="_Toc532817019"/>
      <w:bookmarkStart w:id="206" w:name="_Toc549"/>
      <w:bookmarkStart w:id="207" w:name="_Toc9309_WPSOffice_Level3"/>
      <w:bookmarkStart w:id="208" w:name="_Toc22307_WPSOffice_Level3"/>
      <w:r>
        <w:rPr>
          <w:rFonts w:ascii="Times New Roman" w:hAnsi="Times New Roman" w:cs="Times New Roman"/>
          <w:b/>
          <w:bCs/>
          <w:color w:val="000000" w:themeColor="text1"/>
          <w:kern w:val="44"/>
          <w:sz w:val="24"/>
          <w:szCs w:val="24"/>
        </w:rPr>
        <w:t>2.5.2生产工艺流程及产污节点</w:t>
      </w:r>
      <w:bookmarkEnd w:id="201"/>
      <w:bookmarkEnd w:id="202"/>
      <w:bookmarkEnd w:id="203"/>
      <w:bookmarkEnd w:id="204"/>
      <w:bookmarkEnd w:id="205"/>
      <w:bookmarkEnd w:id="206"/>
      <w:bookmarkEnd w:id="207"/>
      <w:bookmarkEnd w:id="208"/>
    </w:p>
    <w:p>
      <w:pPr>
        <w:pStyle w:val="6"/>
        <w:spacing w:line="520" w:lineRule="exact"/>
        <w:ind w:firstLine="480"/>
        <w:contextualSpacing/>
        <w:rPr>
          <w:color w:val="000000" w:themeColor="text1"/>
          <w:sz w:val="24"/>
        </w:rPr>
      </w:pPr>
      <w:r>
        <w:rPr>
          <w:color w:val="000000" w:themeColor="text1"/>
          <w:sz w:val="24"/>
        </w:rPr>
        <w:t>本项目生产工艺流程及产污环节见图2-4。</w:t>
      </w:r>
    </w:p>
    <w:p>
      <w:pPr>
        <w:pStyle w:val="6"/>
        <w:spacing w:line="360" w:lineRule="auto"/>
        <w:ind w:firstLine="562"/>
        <w:contextualSpacing/>
        <w:rPr>
          <w:sz w:val="24"/>
        </w:rPr>
      </w:pPr>
      <w:r>
        <w:rPr>
          <w:b/>
          <w:sz w:val="28"/>
        </w:rPr>
        <w:pict>
          <v:line id="_x0000_s2079" o:spid="_x0000_s2079" o:spt="20" style="position:absolute;left:0pt;flip:y;margin-left:319.15pt;margin-top:7.85pt;height:16.5pt;width:0pt;z-index:251651072;mso-width-relative:page;mso-height-relative:page;" coordsize="21600,21600" o:gfxdata="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5yfHntYAAAAJAQAADwAAAAAAAAABACAAAAAiAAAAZHJzL2Rvd25yZXYueG1sUEsBAhQA&#10;FAAAAAgAh07iQHv5TMf0AQAArwMAAA4AAAAAAAAAAQAgAAAAJQEAAGRycy9lMm9Eb2MueG1sUEsF&#10;BgAAAAAGAAYAWQEAAIsFAAAAAA==&#10;">
            <v:path arrowok="t"/>
            <v:fill focussize="0,0"/>
            <v:stroke dashstyle="dash" endarrow="block"/>
            <v:imagedata o:title=""/>
            <o:lock v:ext="edit"/>
          </v:line>
        </w:pict>
      </w:r>
      <w:r>
        <w:rPr>
          <w:sz w:val="24"/>
        </w:rPr>
        <w:pict>
          <v:line id="_x0000_s2080" o:spid="_x0000_s2080" o:spt="20" style="position:absolute;left:0pt;flip:y;margin-left:185.9pt;margin-top:6.35pt;height:16.5pt;width:0pt;z-index:251649024;mso-width-relative:page;mso-height-relative:page;" coordsize="21600,21600" o:gfxdata="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QyJdGNYAAAAJAQAADwAAAAAAAAABACAAAAAiAAAAZHJzL2Rvd25yZXYueG1sUEsBAhQA&#10;FAAAAAgAh07iQHtu6ez0AQAArwMAAA4AAAAAAAAAAQAgAAAAJQEAAGRycy9lMm9Eb2MueG1sUEsF&#10;BgAAAAAGAAYAWQEAAIsFAAAAAA==&#10;">
            <v:path arrowok="t"/>
            <v:fill focussize="0,0"/>
            <v:stroke dashstyle="dash" endarrow="block"/>
            <v:imagedata o:title=""/>
            <o:lock v:ext="edit"/>
          </v:line>
        </w:pict>
      </w:r>
      <w:r>
        <w:rPr>
          <w:rFonts w:hint="eastAsia"/>
          <w:sz w:val="24"/>
          <w:lang w:val="en-US" w:eastAsia="zh-CN"/>
        </w:rPr>
        <w:t xml:space="preserve"> </w:t>
      </w:r>
    </w:p>
    <w:p>
      <w:pPr>
        <w:ind w:firstLine="420" w:firstLineChars="200"/>
        <w:jc w:val="center"/>
        <w:rPr>
          <w:rFonts w:ascii="Times New Roman" w:hAnsi="Times New Roman" w:cs="Times New Roman"/>
          <w:b/>
          <w:color w:val="000000" w:themeColor="text1"/>
          <w:spacing w:val="4"/>
          <w:sz w:val="24"/>
          <w:szCs w:val="24"/>
        </w:rPr>
      </w:pPr>
      <w:r>
        <w:object>
          <v:shape id="_x0000_i1036" o:spt="75" type="#_x0000_t75" style="height:86.05pt;width:454.85pt;" o:ole="t" filled="f" o:preferrelative="t" stroked="f" coordsize="21600,21600">
            <v:path/>
            <v:fill on="f" focussize="0,0"/>
            <v:stroke on="f"/>
            <v:imagedata r:id="rId27" o:title=""/>
            <o:lock v:ext="edit" aspectratio="t"/>
            <w10:wrap type="none"/>
            <w10:anchorlock/>
          </v:shape>
          <o:OLEObject Type="Embed" ProgID="Visio.Drawing.11" ShapeID="_x0000_i1036" DrawAspect="Content" ObjectID="_1468075736" r:id="rId26">
            <o:LockedField>false</o:LockedField>
          </o:OLEObject>
        </w:object>
      </w:r>
    </w:p>
    <w:p>
      <w:pPr>
        <w:ind w:left="840" w:leftChars="0" w:firstLine="1680" w:firstLineChars="675"/>
        <w:jc w:val="both"/>
      </w:pPr>
      <w:r>
        <w:rPr>
          <w:rFonts w:ascii="Times New Roman" w:hAnsi="Times New Roman" w:cs="Times New Roman"/>
          <w:b/>
          <w:color w:val="000000" w:themeColor="text1"/>
          <w:spacing w:val="4"/>
          <w:sz w:val="24"/>
          <w:szCs w:val="24"/>
        </w:rPr>
        <w:t xml:space="preserve">图2-4 </w:t>
      </w:r>
      <w:r>
        <w:rPr>
          <w:rFonts w:ascii="Times New Roman" w:hAnsi="Times New Roman" w:cs="Times New Roman"/>
          <w:b/>
          <w:color w:val="000000" w:themeColor="text1"/>
          <w:sz w:val="24"/>
        </w:rPr>
        <w:t>生产工艺流程及产污环节图</w:t>
      </w:r>
    </w:p>
    <w:p>
      <w:pPr>
        <w:ind w:firstLine="498" w:firstLineChars="200"/>
        <w:jc w:val="center"/>
        <w:rPr>
          <w:rFonts w:ascii="Times New Roman" w:hAnsi="Times New Roman" w:cs="Times New Roman"/>
          <w:b/>
          <w:color w:val="000000" w:themeColor="text1"/>
          <w:spacing w:val="4"/>
          <w:sz w:val="24"/>
          <w:szCs w:val="24"/>
        </w:rPr>
      </w:pPr>
    </w:p>
    <w:p>
      <w:pPr>
        <w:pStyle w:val="6"/>
        <w:spacing w:line="360" w:lineRule="auto"/>
        <w:ind w:leftChars="-1" w:hanging="2" w:hangingChars="1"/>
        <w:contextualSpacing/>
        <w:rPr>
          <w:sz w:val="24"/>
        </w:rPr>
      </w:pPr>
      <w:bookmarkStart w:id="209" w:name="_Toc29772_WPSOffice_Level3"/>
      <w:bookmarkStart w:id="210" w:name="_Toc28214_WPSOffice_Level3"/>
      <w:bookmarkStart w:id="211" w:name="_Toc20801"/>
      <w:bookmarkStart w:id="212" w:name="_Toc30548_WPSOffice_Level3"/>
      <w:bookmarkStart w:id="213" w:name="_Toc20889_WPSOffice_Level3"/>
      <w:bookmarkStart w:id="214" w:name="_Toc10928_WPSOffice_Level3"/>
      <w:bookmarkStart w:id="215" w:name="_Toc532817020"/>
      <w:r>
        <w:rPr>
          <w:sz w:val="24"/>
        </w:rPr>
        <w:t>项目加油工艺流程主要有卸油和加油两个环节，具体为：</w:t>
      </w:r>
    </w:p>
    <w:p>
      <w:pPr>
        <w:spacing w:line="520" w:lineRule="exact"/>
        <w:ind w:firstLine="480" w:firstLineChars="200"/>
        <w:contextualSpacing/>
        <w:rPr>
          <w:sz w:val="24"/>
        </w:rPr>
      </w:pPr>
      <w:r>
        <w:rPr>
          <w:rFonts w:ascii="宋体"/>
          <w:sz w:val="24"/>
        </w:rPr>
        <w:t>①</w:t>
      </w:r>
      <w:r>
        <w:rPr>
          <w:sz w:val="24"/>
        </w:rPr>
        <w:t>卸油：加油站油品来自汽车罐车，罐车进站后熄火，进行静电接地，待罐车静置</w:t>
      </w:r>
      <w:r>
        <w:rPr>
          <w:rFonts w:ascii="Times New Roman" w:hAnsi="Times New Roman" w:cs="Times New Roman"/>
          <w:sz w:val="24"/>
        </w:rPr>
        <w:t>15min</w:t>
      </w:r>
      <w:r>
        <w:rPr>
          <w:sz w:val="24"/>
        </w:rPr>
        <w:t>后打开油罐车口盖，接好卸油管，使接头接合紧密，卸油管自然弯曲，油品经密闭卸油口卸入对应的油罐内储存。卸油完毕，关闭罐车卸油阀门，拆除卸油管，锁好卸油口，收回静电接地线。油罐设有液位仪检测油罐液位，液位超过设定值后，发出报警信号。</w:t>
      </w:r>
    </w:p>
    <w:p>
      <w:pPr>
        <w:spacing w:line="520" w:lineRule="exact"/>
        <w:ind w:firstLine="480" w:firstLineChars="200"/>
        <w:contextualSpacing/>
        <w:rPr>
          <w:sz w:val="24"/>
        </w:rPr>
      </w:pPr>
      <w:r>
        <w:rPr>
          <w:rFonts w:ascii="宋体"/>
          <w:sz w:val="24"/>
        </w:rPr>
        <w:t>②</w:t>
      </w:r>
      <w:r>
        <w:rPr>
          <w:sz w:val="24"/>
        </w:rPr>
        <w:t>加油：加油车辆到达加油位置后，停车熄火，开启油箱，加油员在加油机上预置加油数量，经确认油品无误后，提枪加油，油品经泵进入加油枪然后注入汽车油箱内。</w:t>
      </w:r>
    </w:p>
    <w:p>
      <w:pPr>
        <w:pStyle w:val="6"/>
        <w:spacing w:line="520" w:lineRule="exact"/>
        <w:ind w:firstLine="480"/>
        <w:contextualSpacing/>
        <w:rPr>
          <w:sz w:val="24"/>
        </w:rPr>
      </w:pPr>
      <w:r>
        <w:rPr>
          <w:rFonts w:ascii="宋体"/>
          <w:sz w:val="24"/>
        </w:rPr>
        <w:t>③</w:t>
      </w:r>
      <w:r>
        <w:rPr>
          <w:sz w:val="24"/>
        </w:rPr>
        <w:t>油气回收：项目</w:t>
      </w:r>
      <w:r>
        <w:rPr>
          <w:rFonts w:hint="eastAsia"/>
          <w:sz w:val="24"/>
        </w:rPr>
        <w:t>目前</w:t>
      </w:r>
      <w:r>
        <w:rPr>
          <w:sz w:val="24"/>
        </w:rPr>
        <w:t>采用一次油气回收设施、二次油气回收设施</w:t>
      </w:r>
      <w:r>
        <w:rPr>
          <w:rFonts w:hint="eastAsia"/>
          <w:sz w:val="24"/>
        </w:rPr>
        <w:t>，将加装三次油气回收设施，故本次评价按三级油气进行</w:t>
      </w:r>
      <w:r>
        <w:rPr>
          <w:sz w:val="24"/>
        </w:rPr>
        <w:t>。</w:t>
      </w:r>
    </w:p>
    <w:p>
      <w:pPr>
        <w:pStyle w:val="6"/>
        <w:spacing w:line="520" w:lineRule="exact"/>
        <w:ind w:firstLine="480"/>
        <w:contextualSpacing/>
        <w:rPr>
          <w:sz w:val="24"/>
        </w:rPr>
      </w:pPr>
      <w:r>
        <w:rPr>
          <w:sz w:val="24"/>
        </w:rPr>
        <w:t>一次油气回收指专用油罐车卸油到加油站的储油罐中，将加油站储油罐中的油蒸汽通过密闭方式收集到油罐车内，运送到加油站外的储油库集中回收变成汽油，限制油气向大气中排放。具体步骤为：</w:t>
      </w:r>
    </w:p>
    <w:p>
      <w:pPr>
        <w:widowControl/>
        <w:spacing w:line="520" w:lineRule="exact"/>
        <w:ind w:firstLine="480" w:firstLineChars="200"/>
        <w:contextualSpacing/>
        <w:jc w:val="left"/>
        <w:rPr>
          <w:kern w:val="0"/>
          <w:sz w:val="24"/>
        </w:rPr>
      </w:pPr>
      <w:r>
        <w:rPr>
          <w:kern w:val="0"/>
          <w:sz w:val="24"/>
        </w:rPr>
        <w:t>卸油时，卸油软管连接罐车出油口和罐区卸油口，油气回收软管连接罐车油气回收口和卸油口的油气回收管道接口。当罐车内汽油流入加油站汽油罐时，汽油罐内油气通过通气管连通管进入到低标号汽油罐内，再通过油气回收管道流入到罐车内，整个过程中无油气排放。卸油时由于通气管上安装有压力真空阀，在设定工作压力内不会开启，不会造成油气通过通气管的排放。</w:t>
      </w:r>
    </w:p>
    <w:p>
      <w:pPr>
        <w:widowControl/>
        <w:spacing w:line="360" w:lineRule="auto"/>
        <w:ind w:firstLine="11" w:firstLineChars="5"/>
        <w:contextualSpacing/>
        <w:jc w:val="center"/>
        <w:rPr>
          <w:kern w:val="0"/>
          <w:sz w:val="24"/>
        </w:rPr>
      </w:pPr>
      <w:r>
        <w:rPr>
          <w:kern w:val="0"/>
          <w:sz w:val="22"/>
        </w:rPr>
        <w:drawing>
          <wp:inline distT="0" distB="0" distL="0" distR="0">
            <wp:extent cx="4846320" cy="2590800"/>
            <wp:effectExtent l="19050" t="0" r="0" b="0"/>
            <wp:docPr id="5" name="图片 134" descr="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34" descr="１"/>
                    <pic:cNvPicPr>
                      <a:picLocks noChangeAspect="1" noChangeArrowheads="1"/>
                    </pic:cNvPicPr>
                  </pic:nvPicPr>
                  <pic:blipFill>
                    <a:blip r:embed="rId28"/>
                    <a:srcRect/>
                    <a:stretch>
                      <a:fillRect/>
                    </a:stretch>
                  </pic:blipFill>
                  <pic:spPr>
                    <a:xfrm>
                      <a:off x="0" y="0"/>
                      <a:ext cx="4846320" cy="2590800"/>
                    </a:xfrm>
                    <a:prstGeom prst="rect">
                      <a:avLst/>
                    </a:prstGeom>
                    <a:noFill/>
                    <a:ln w="9525">
                      <a:noFill/>
                      <a:miter lim="800000"/>
                      <a:headEnd/>
                      <a:tailEnd/>
                    </a:ln>
                  </pic:spPr>
                </pic:pic>
              </a:graphicData>
            </a:graphic>
          </wp:inline>
        </w:drawing>
      </w:r>
    </w:p>
    <w:p>
      <w:pPr>
        <w:pStyle w:val="6"/>
        <w:spacing w:line="520" w:lineRule="exact"/>
        <w:ind w:firstLine="480"/>
        <w:contextualSpacing/>
        <w:rPr>
          <w:sz w:val="24"/>
        </w:rPr>
      </w:pPr>
      <w:r>
        <w:rPr>
          <w:sz w:val="24"/>
        </w:rPr>
        <w:t>二次油气回收指在给汽车油箱加油时，利用加油枪特殊装置，将原本由汽车油箱逸散于空气中的油气经加油枪、抽气泵回收入地下油罐内。</w:t>
      </w:r>
    </w:p>
    <w:p>
      <w:pPr>
        <w:pStyle w:val="6"/>
        <w:spacing w:line="520" w:lineRule="exact"/>
        <w:ind w:firstLine="480"/>
        <w:contextualSpacing/>
        <w:rPr>
          <w:sz w:val="24"/>
        </w:rPr>
      </w:pPr>
      <w:r>
        <w:rPr>
          <w:sz w:val="24"/>
        </w:rPr>
        <w:t>项目采用油气回收专用油枪，加油满至枪头回气孔时，可自动跳脱，另在回气孔之后有八个油气回收孔，真空泵将油气通过密闭方式收集进入埋地油罐，可有效将加油时所造成的油气逸散降到最低。加油过程中加油与吸气比例接近1:1，保证每发1L油可回收相当于1L体积的油气，确保加油过程中油气回收顺利完成。</w:t>
      </w:r>
      <w:r>
        <w:rPr>
          <w:kern w:val="24"/>
          <w:sz w:val="24"/>
        </w:rPr>
        <w:t>油气回收管线应坡向油罐，坡度不应小于1%；加油软管应配备拉断截止阀，加油时应防止溢油和滴油。</w:t>
      </w:r>
    </w:p>
    <w:p>
      <w:pPr>
        <w:pStyle w:val="6"/>
        <w:spacing w:line="360" w:lineRule="auto"/>
        <w:ind w:firstLine="11" w:firstLineChars="5"/>
        <w:contextualSpacing/>
        <w:jc w:val="center"/>
        <w:rPr>
          <w:kern w:val="0"/>
          <w:sz w:val="22"/>
          <w:szCs w:val="22"/>
        </w:rPr>
      </w:pPr>
      <w:r>
        <w:rPr>
          <w:kern w:val="0"/>
          <w:sz w:val="22"/>
          <w:szCs w:val="22"/>
        </w:rPr>
        <w:drawing>
          <wp:inline distT="0" distB="0" distL="0" distR="0">
            <wp:extent cx="4305300" cy="2468880"/>
            <wp:effectExtent l="19050" t="0" r="0" b="0"/>
            <wp:docPr id="4" name="图片 135" descr="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35" descr="２"/>
                    <pic:cNvPicPr>
                      <a:picLocks noChangeAspect="1" noChangeArrowheads="1"/>
                    </pic:cNvPicPr>
                  </pic:nvPicPr>
                  <pic:blipFill>
                    <a:blip r:embed="rId29"/>
                    <a:srcRect/>
                    <a:stretch>
                      <a:fillRect/>
                    </a:stretch>
                  </pic:blipFill>
                  <pic:spPr>
                    <a:xfrm>
                      <a:off x="0" y="0"/>
                      <a:ext cx="4305300" cy="2468880"/>
                    </a:xfrm>
                    <a:prstGeom prst="rect">
                      <a:avLst/>
                    </a:prstGeom>
                    <a:noFill/>
                    <a:ln w="9525">
                      <a:noFill/>
                      <a:miter lim="800000"/>
                      <a:headEnd/>
                      <a:tailEnd/>
                    </a:ln>
                  </pic:spPr>
                </pic:pic>
              </a:graphicData>
            </a:graphic>
          </wp:inline>
        </w:drawing>
      </w:r>
    </w:p>
    <w:p>
      <w:pPr>
        <w:pStyle w:val="6"/>
        <w:spacing w:line="360" w:lineRule="auto"/>
        <w:ind w:firstLine="491" w:firstLineChars="205"/>
        <w:contextualSpacing/>
        <w:rPr>
          <w:sz w:val="24"/>
        </w:rPr>
      </w:pPr>
      <w:r>
        <w:rPr>
          <w:rFonts w:hint="eastAsia"/>
          <w:sz w:val="24"/>
        </w:rPr>
        <w:t>三次油气回收是指油气排放处理装置。油气排放处理装置一般是指对加油油气回收系统收集的油气进行回收处理的装置。处理的是带有回收油气功能的加油枪在气液比大于1时多收集并从排气管路排放的油气以及埋地油罐随大气压和气温变化产生正压时排放的油气。该系统可以使汽油罐的油气排放基本为零，显著提高加油站的本质安全水平。</w:t>
      </w:r>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216" w:name="_Toc16473"/>
      <w:r>
        <w:rPr>
          <w:rFonts w:ascii="Times New Roman" w:hAnsi="Times New Roman" w:cs="Times New Roman"/>
          <w:b/>
          <w:bCs/>
          <w:color w:val="000000" w:themeColor="text1"/>
          <w:kern w:val="44"/>
          <w:sz w:val="24"/>
          <w:szCs w:val="24"/>
        </w:rPr>
        <w:t>2.5.3 公辅工程及主要设备设施</w:t>
      </w:r>
      <w:bookmarkEnd w:id="209"/>
      <w:bookmarkEnd w:id="210"/>
      <w:bookmarkEnd w:id="211"/>
      <w:bookmarkEnd w:id="212"/>
      <w:bookmarkEnd w:id="213"/>
      <w:bookmarkEnd w:id="214"/>
      <w:bookmarkEnd w:id="215"/>
      <w:bookmarkEnd w:id="216"/>
    </w:p>
    <w:p>
      <w:pPr>
        <w:spacing w:line="500" w:lineRule="exact"/>
        <w:ind w:firstLine="482" w:firstLineChars="200"/>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（1）供电</w:t>
      </w:r>
    </w:p>
    <w:p>
      <w:pPr>
        <w:spacing w:line="500" w:lineRule="exact"/>
        <w:ind w:firstLine="480" w:firstLineChars="200"/>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市政电网供电，配置一台30kw柴油发电机作为备用电源。</w:t>
      </w:r>
    </w:p>
    <w:p>
      <w:pPr>
        <w:spacing w:line="500" w:lineRule="exact"/>
        <w:ind w:firstLine="482" w:firstLineChars="200"/>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（2）供水</w:t>
      </w:r>
    </w:p>
    <w:p>
      <w:pPr>
        <w:spacing w:line="500" w:lineRule="exact"/>
        <w:ind w:firstLine="480" w:firstLineChars="200"/>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市政给水管道给水；站内排水采取雨污分流，地面冲洗水经隔油沉淀处理后与生活污水混合纳入市政污水管网。生活污水经化粪池处理后，排入市政污水管网。</w:t>
      </w:r>
    </w:p>
    <w:p>
      <w:pPr>
        <w:spacing w:line="500" w:lineRule="exact"/>
        <w:ind w:firstLine="482" w:firstLineChars="200"/>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（3）主要设备设施</w:t>
      </w:r>
    </w:p>
    <w:p>
      <w:pPr>
        <w:spacing w:line="500" w:lineRule="exact"/>
        <w:ind w:firstLine="480" w:firstLineChars="200"/>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加油站主要设备设施见下表。</w:t>
      </w:r>
    </w:p>
    <w:p>
      <w:pPr>
        <w:spacing w:line="360" w:lineRule="auto"/>
        <w:jc w:val="center"/>
        <w:rPr>
          <w:rFonts w:ascii="Times New Roman" w:hAnsi="Times New Roman" w:cs="Times New Roman"/>
          <w:b/>
          <w:color w:val="000000" w:themeColor="text1"/>
          <w:szCs w:val="21"/>
        </w:rPr>
      </w:pPr>
    </w:p>
    <w:p>
      <w:pPr>
        <w:spacing w:line="360" w:lineRule="auto"/>
        <w:jc w:val="center"/>
        <w:rPr>
          <w:rFonts w:ascii="Times New Roman" w:hAnsi="Times New Roman" w:cs="Times New Roman"/>
          <w:b/>
          <w:color w:val="000000" w:themeColor="text1"/>
          <w:szCs w:val="21"/>
        </w:rPr>
      </w:pPr>
      <w:r>
        <w:rPr>
          <w:rFonts w:ascii="Times New Roman" w:hAnsi="Times New Roman" w:cs="Times New Roman"/>
          <w:b/>
          <w:color w:val="000000" w:themeColor="text1"/>
          <w:szCs w:val="21"/>
        </w:rPr>
        <w:t>表2-3 主要设备一览表</w:t>
      </w:r>
    </w:p>
    <w:tbl>
      <w:tblPr>
        <w:tblStyle w:val="14"/>
        <w:tblW w:w="8312" w:type="dxa"/>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0" w:type="dxa"/>
          <w:bottom w:w="0" w:type="dxa"/>
          <w:right w:w="0" w:type="dxa"/>
        </w:tblCellMar>
      </w:tblPr>
      <w:tblGrid>
        <w:gridCol w:w="1092"/>
        <w:gridCol w:w="2027"/>
        <w:gridCol w:w="2067"/>
        <w:gridCol w:w="1224"/>
        <w:gridCol w:w="1902"/>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0" w:type="dxa"/>
            <w:bottom w:w="0" w:type="dxa"/>
            <w:right w:w="0" w:type="dxa"/>
          </w:tblCellMar>
        </w:tblPrEx>
        <w:trPr>
          <w:cantSplit/>
          <w:trHeight w:val="360" w:hRule="atLeast"/>
          <w:jc w:val="center"/>
        </w:trPr>
        <w:tc>
          <w:tcPr>
            <w:tcW w:w="1092" w:type="dxa"/>
            <w:tcBorders>
              <w:tl2br w:val="nil"/>
              <w:tr2bl w:val="nil"/>
            </w:tcBorders>
            <w:vAlign w:val="center"/>
          </w:tcPr>
          <w:p>
            <w:pPr>
              <w:pStyle w:val="24"/>
              <w:spacing w:line="360" w:lineRule="exact"/>
              <w:rPr>
                <w:rFonts w:ascii="Times New Roman" w:hAnsi="Times New Roman" w:cs="Times New Roman"/>
                <w:b/>
                <w:color w:val="000000" w:themeColor="text1"/>
                <w:spacing w:val="0"/>
              </w:rPr>
            </w:pPr>
            <w:r>
              <w:rPr>
                <w:rFonts w:ascii="Times New Roman" w:hAnsi="Times New Roman" w:cs="Times New Roman"/>
                <w:b/>
                <w:color w:val="000000" w:themeColor="text1"/>
                <w:spacing w:val="0"/>
              </w:rPr>
              <w:t>序号</w:t>
            </w:r>
          </w:p>
        </w:tc>
        <w:tc>
          <w:tcPr>
            <w:tcW w:w="2027" w:type="dxa"/>
            <w:tcBorders>
              <w:tl2br w:val="nil"/>
              <w:tr2bl w:val="nil"/>
            </w:tcBorders>
            <w:vAlign w:val="center"/>
          </w:tcPr>
          <w:p>
            <w:pPr>
              <w:pStyle w:val="24"/>
              <w:spacing w:line="360" w:lineRule="exact"/>
              <w:rPr>
                <w:rFonts w:ascii="Times New Roman" w:hAnsi="Times New Roman" w:cs="Times New Roman"/>
                <w:b/>
                <w:color w:val="000000" w:themeColor="text1"/>
                <w:spacing w:val="0"/>
              </w:rPr>
            </w:pPr>
            <w:r>
              <w:rPr>
                <w:rFonts w:ascii="Times New Roman" w:hAnsi="Times New Roman" w:cs="Times New Roman"/>
                <w:b/>
                <w:color w:val="000000" w:themeColor="text1"/>
                <w:spacing w:val="0"/>
              </w:rPr>
              <w:t>名称</w:t>
            </w:r>
          </w:p>
        </w:tc>
        <w:tc>
          <w:tcPr>
            <w:tcW w:w="2067" w:type="dxa"/>
            <w:tcBorders>
              <w:tl2br w:val="nil"/>
              <w:tr2bl w:val="nil"/>
            </w:tcBorders>
            <w:vAlign w:val="center"/>
          </w:tcPr>
          <w:p>
            <w:pPr>
              <w:pStyle w:val="24"/>
              <w:spacing w:line="360" w:lineRule="exact"/>
              <w:rPr>
                <w:rFonts w:ascii="Times New Roman" w:hAnsi="Times New Roman" w:cs="Times New Roman"/>
                <w:b/>
                <w:color w:val="000000" w:themeColor="text1"/>
                <w:spacing w:val="0"/>
              </w:rPr>
            </w:pPr>
            <w:r>
              <w:rPr>
                <w:rFonts w:ascii="Times New Roman" w:hAnsi="Times New Roman" w:cs="Times New Roman"/>
                <w:b/>
                <w:color w:val="000000" w:themeColor="text1"/>
                <w:spacing w:val="0"/>
              </w:rPr>
              <w:t>规格</w:t>
            </w:r>
          </w:p>
        </w:tc>
        <w:tc>
          <w:tcPr>
            <w:tcW w:w="1224" w:type="dxa"/>
            <w:tcBorders>
              <w:tl2br w:val="nil"/>
              <w:tr2bl w:val="nil"/>
            </w:tcBorders>
            <w:vAlign w:val="center"/>
          </w:tcPr>
          <w:p>
            <w:pPr>
              <w:pStyle w:val="24"/>
              <w:spacing w:line="360" w:lineRule="exact"/>
              <w:rPr>
                <w:rFonts w:ascii="Times New Roman" w:hAnsi="Times New Roman" w:cs="Times New Roman"/>
                <w:b/>
                <w:color w:val="000000" w:themeColor="text1"/>
                <w:spacing w:val="0"/>
              </w:rPr>
            </w:pPr>
            <w:r>
              <w:rPr>
                <w:rFonts w:ascii="Times New Roman" w:hAnsi="Times New Roman" w:cs="Times New Roman"/>
                <w:b/>
                <w:color w:val="000000" w:themeColor="text1"/>
                <w:spacing w:val="0"/>
              </w:rPr>
              <w:t>数量</w:t>
            </w:r>
          </w:p>
        </w:tc>
        <w:tc>
          <w:tcPr>
            <w:tcW w:w="1902" w:type="dxa"/>
            <w:tcBorders>
              <w:tl2br w:val="nil"/>
              <w:tr2bl w:val="nil"/>
            </w:tcBorders>
            <w:vAlign w:val="center"/>
          </w:tcPr>
          <w:p>
            <w:pPr>
              <w:pStyle w:val="24"/>
              <w:spacing w:line="360" w:lineRule="exact"/>
              <w:rPr>
                <w:rFonts w:ascii="Times New Roman" w:hAnsi="Times New Roman" w:cs="Times New Roman"/>
                <w:b/>
                <w:color w:val="000000" w:themeColor="text1"/>
                <w:spacing w:val="0"/>
              </w:rPr>
            </w:pPr>
            <w:r>
              <w:rPr>
                <w:rFonts w:ascii="Times New Roman" w:hAnsi="Times New Roman" w:cs="Times New Roman"/>
                <w:b/>
                <w:color w:val="000000" w:themeColor="text1"/>
                <w:spacing w:val="0"/>
              </w:rPr>
              <w:t>备注</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0" w:type="dxa"/>
            <w:bottom w:w="0" w:type="dxa"/>
            <w:right w:w="0" w:type="dxa"/>
          </w:tblCellMar>
        </w:tblPrEx>
        <w:trPr>
          <w:cantSplit/>
          <w:trHeight w:val="360" w:hRule="atLeast"/>
          <w:jc w:val="center"/>
        </w:trPr>
        <w:tc>
          <w:tcPr>
            <w:tcW w:w="1092" w:type="dxa"/>
            <w:tcBorders>
              <w:tl2br w:val="nil"/>
              <w:tr2bl w:val="nil"/>
            </w:tcBorders>
            <w:vAlign w:val="center"/>
          </w:tcPr>
          <w:p>
            <w:pPr>
              <w:pStyle w:val="24"/>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1</w:t>
            </w:r>
          </w:p>
        </w:tc>
        <w:tc>
          <w:tcPr>
            <w:tcW w:w="2027" w:type="dxa"/>
            <w:tcBorders>
              <w:tl2br w:val="nil"/>
              <w:tr2bl w:val="nil"/>
            </w:tcBorders>
            <w:vAlign w:val="center"/>
          </w:tcPr>
          <w:p>
            <w:pPr>
              <w:pStyle w:val="24"/>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0#柴油储罐</w:t>
            </w:r>
          </w:p>
        </w:tc>
        <w:tc>
          <w:tcPr>
            <w:tcW w:w="2067" w:type="dxa"/>
            <w:tcBorders>
              <w:tl2br w:val="nil"/>
              <w:tr2bl w:val="nil"/>
            </w:tcBorders>
            <w:vAlign w:val="center"/>
          </w:tcPr>
          <w:p>
            <w:pPr>
              <w:pStyle w:val="24"/>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30m</w:t>
            </w:r>
            <w:r>
              <w:rPr>
                <w:rFonts w:ascii="Times New Roman" w:hAnsi="Times New Roman" w:cs="Times New Roman"/>
                <w:color w:val="000000" w:themeColor="text1"/>
                <w:spacing w:val="0"/>
                <w:vertAlign w:val="superscript"/>
              </w:rPr>
              <w:t>3</w:t>
            </w:r>
          </w:p>
        </w:tc>
        <w:tc>
          <w:tcPr>
            <w:tcW w:w="1224" w:type="dxa"/>
            <w:tcBorders>
              <w:tl2br w:val="nil"/>
              <w:tr2bl w:val="nil"/>
            </w:tcBorders>
            <w:vAlign w:val="center"/>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lang w:val="en-US" w:eastAsia="zh-CN"/>
              </w:rPr>
              <w:t>2</w:t>
            </w:r>
            <w:r>
              <w:rPr>
                <w:rFonts w:ascii="Times New Roman" w:hAnsi="Times New Roman" w:cs="Times New Roman"/>
                <w:color w:val="000000" w:themeColor="text1"/>
                <w:spacing w:val="0"/>
              </w:rPr>
              <w:t>台</w:t>
            </w:r>
          </w:p>
        </w:tc>
        <w:tc>
          <w:tcPr>
            <w:tcW w:w="1902" w:type="dxa"/>
            <w:tcBorders>
              <w:tl2br w:val="nil"/>
              <w:tr2bl w:val="nil"/>
            </w:tcBorders>
            <w:vAlign w:val="center"/>
          </w:tcPr>
          <w:p>
            <w:pPr>
              <w:pStyle w:val="24"/>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地埋式</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0" w:type="dxa"/>
            <w:bottom w:w="0" w:type="dxa"/>
            <w:right w:w="0" w:type="dxa"/>
          </w:tblCellMar>
        </w:tblPrEx>
        <w:trPr>
          <w:cantSplit/>
          <w:trHeight w:val="360" w:hRule="atLeast"/>
          <w:jc w:val="center"/>
        </w:trPr>
        <w:tc>
          <w:tcPr>
            <w:tcW w:w="1092" w:type="dxa"/>
            <w:tcBorders>
              <w:tl2br w:val="nil"/>
              <w:tr2bl w:val="nil"/>
            </w:tcBorders>
            <w:vAlign w:val="center"/>
          </w:tcPr>
          <w:p>
            <w:pPr>
              <w:pStyle w:val="24"/>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2</w:t>
            </w:r>
          </w:p>
        </w:tc>
        <w:tc>
          <w:tcPr>
            <w:tcW w:w="2027" w:type="dxa"/>
            <w:tcBorders>
              <w:tl2br w:val="nil"/>
              <w:tr2bl w:val="nil"/>
            </w:tcBorders>
            <w:vAlign w:val="center"/>
          </w:tcPr>
          <w:p>
            <w:pPr>
              <w:pStyle w:val="24"/>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93#汽油储罐</w:t>
            </w:r>
          </w:p>
        </w:tc>
        <w:tc>
          <w:tcPr>
            <w:tcW w:w="2067" w:type="dxa"/>
            <w:tcBorders>
              <w:tl2br w:val="nil"/>
              <w:tr2bl w:val="nil"/>
            </w:tcBorders>
            <w:vAlign w:val="center"/>
          </w:tcPr>
          <w:p>
            <w:pPr>
              <w:pStyle w:val="24"/>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30m</w:t>
            </w:r>
            <w:r>
              <w:rPr>
                <w:rFonts w:ascii="Times New Roman" w:hAnsi="Times New Roman" w:cs="Times New Roman"/>
                <w:color w:val="000000" w:themeColor="text1"/>
                <w:spacing w:val="0"/>
                <w:vertAlign w:val="superscript"/>
              </w:rPr>
              <w:t>3</w:t>
            </w:r>
          </w:p>
        </w:tc>
        <w:tc>
          <w:tcPr>
            <w:tcW w:w="1224" w:type="dxa"/>
            <w:tcBorders>
              <w:tl2br w:val="nil"/>
              <w:tr2bl w:val="nil"/>
            </w:tcBorders>
            <w:vAlign w:val="center"/>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lang w:val="en-US" w:eastAsia="zh-CN"/>
              </w:rPr>
              <w:t>2</w:t>
            </w:r>
            <w:r>
              <w:rPr>
                <w:rFonts w:ascii="Times New Roman" w:hAnsi="Times New Roman" w:cs="Times New Roman"/>
                <w:color w:val="000000" w:themeColor="text1"/>
                <w:spacing w:val="0"/>
              </w:rPr>
              <w:t>台</w:t>
            </w:r>
          </w:p>
        </w:tc>
        <w:tc>
          <w:tcPr>
            <w:tcW w:w="1902" w:type="dxa"/>
            <w:tcBorders>
              <w:tl2br w:val="nil"/>
              <w:tr2bl w:val="nil"/>
            </w:tcBorders>
            <w:vAlign w:val="center"/>
          </w:tcPr>
          <w:p>
            <w:pPr>
              <w:pStyle w:val="24"/>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地埋式</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0" w:type="dxa"/>
            <w:bottom w:w="0" w:type="dxa"/>
            <w:right w:w="0" w:type="dxa"/>
          </w:tblCellMar>
        </w:tblPrEx>
        <w:trPr>
          <w:cantSplit/>
          <w:trHeight w:val="360" w:hRule="atLeast"/>
          <w:jc w:val="center"/>
        </w:trPr>
        <w:tc>
          <w:tcPr>
            <w:tcW w:w="1092" w:type="dxa"/>
            <w:tcBorders>
              <w:tl2br w:val="nil"/>
              <w:tr2bl w:val="nil"/>
            </w:tcBorders>
            <w:vAlign w:val="center"/>
          </w:tcPr>
          <w:p>
            <w:pPr>
              <w:pStyle w:val="24"/>
              <w:spacing w:line="360" w:lineRule="exact"/>
              <w:rPr>
                <w:rFonts w:hint="eastAsia" w:ascii="Times New Roman" w:hAnsi="Times New Roman" w:cs="Times New Roman" w:eastAsiaTheme="minorEastAsia"/>
                <w:color w:val="000000" w:themeColor="text1"/>
                <w:spacing w:val="0"/>
                <w:lang w:val="en-US" w:eastAsia="zh-CN"/>
              </w:rPr>
            </w:pPr>
            <w:r>
              <w:rPr>
                <w:rFonts w:hint="eastAsia" w:ascii="Times New Roman" w:hAnsi="Times New Roman" w:cs="Times New Roman"/>
                <w:color w:val="000000" w:themeColor="text1"/>
                <w:spacing w:val="0"/>
                <w:lang w:val="en-US" w:eastAsia="zh-CN"/>
              </w:rPr>
              <w:t>3</w:t>
            </w:r>
          </w:p>
        </w:tc>
        <w:tc>
          <w:tcPr>
            <w:tcW w:w="2027" w:type="dxa"/>
            <w:tcBorders>
              <w:tl2br w:val="nil"/>
              <w:tr2bl w:val="nil"/>
            </w:tcBorders>
            <w:vAlign w:val="center"/>
          </w:tcPr>
          <w:p>
            <w:pPr>
              <w:pStyle w:val="24"/>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9</w:t>
            </w:r>
            <w:r>
              <w:rPr>
                <w:rFonts w:hint="eastAsia" w:ascii="Times New Roman" w:hAnsi="Times New Roman" w:cs="Times New Roman"/>
                <w:color w:val="000000" w:themeColor="text1"/>
                <w:spacing w:val="0"/>
                <w:lang w:val="en-US" w:eastAsia="zh-CN"/>
              </w:rPr>
              <w:t>7</w:t>
            </w:r>
            <w:r>
              <w:rPr>
                <w:rFonts w:ascii="Times New Roman" w:hAnsi="Times New Roman" w:cs="Times New Roman"/>
                <w:color w:val="000000" w:themeColor="text1"/>
                <w:spacing w:val="0"/>
              </w:rPr>
              <w:t>#汽油储罐</w:t>
            </w:r>
          </w:p>
        </w:tc>
        <w:tc>
          <w:tcPr>
            <w:tcW w:w="2067" w:type="dxa"/>
            <w:tcBorders>
              <w:tl2br w:val="nil"/>
              <w:tr2bl w:val="nil"/>
            </w:tcBorders>
            <w:vAlign w:val="center"/>
          </w:tcPr>
          <w:p>
            <w:pPr>
              <w:pStyle w:val="24"/>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30m</w:t>
            </w:r>
            <w:r>
              <w:rPr>
                <w:rFonts w:ascii="Times New Roman" w:hAnsi="Times New Roman" w:cs="Times New Roman"/>
                <w:color w:val="000000" w:themeColor="text1"/>
                <w:spacing w:val="0"/>
                <w:vertAlign w:val="superscript"/>
              </w:rPr>
              <w:t>3</w:t>
            </w:r>
          </w:p>
        </w:tc>
        <w:tc>
          <w:tcPr>
            <w:tcW w:w="1224" w:type="dxa"/>
            <w:tcBorders>
              <w:tl2br w:val="nil"/>
              <w:tr2bl w:val="nil"/>
            </w:tcBorders>
            <w:vAlign w:val="center"/>
          </w:tcPr>
          <w:p>
            <w:pPr>
              <w:pStyle w:val="24"/>
              <w:spacing w:line="360" w:lineRule="exact"/>
              <w:rPr>
                <w:rFonts w:hint="eastAsia" w:ascii="Times New Roman" w:hAnsi="Times New Roman" w:cs="Times New Roman"/>
                <w:color w:val="000000" w:themeColor="text1"/>
                <w:spacing w:val="0"/>
                <w:lang w:val="en-US" w:eastAsia="zh-CN"/>
              </w:rPr>
            </w:pPr>
            <w:r>
              <w:rPr>
                <w:rFonts w:hint="eastAsia" w:ascii="Times New Roman" w:hAnsi="Times New Roman" w:cs="Times New Roman"/>
                <w:color w:val="000000" w:themeColor="text1"/>
                <w:spacing w:val="0"/>
                <w:lang w:val="en-US" w:eastAsia="zh-CN"/>
              </w:rPr>
              <w:t>1</w:t>
            </w:r>
            <w:r>
              <w:rPr>
                <w:rFonts w:ascii="Times New Roman" w:hAnsi="Times New Roman" w:cs="Times New Roman"/>
                <w:color w:val="000000" w:themeColor="text1"/>
                <w:spacing w:val="0"/>
              </w:rPr>
              <w:t>台</w:t>
            </w:r>
          </w:p>
        </w:tc>
        <w:tc>
          <w:tcPr>
            <w:tcW w:w="1902" w:type="dxa"/>
            <w:tcBorders>
              <w:tl2br w:val="nil"/>
              <w:tr2bl w:val="nil"/>
            </w:tcBorders>
            <w:vAlign w:val="center"/>
          </w:tcPr>
          <w:p>
            <w:pPr>
              <w:pStyle w:val="24"/>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地埋式</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0" w:type="dxa"/>
            <w:bottom w:w="0" w:type="dxa"/>
            <w:right w:w="0" w:type="dxa"/>
          </w:tblCellMar>
        </w:tblPrEx>
        <w:trPr>
          <w:cantSplit/>
          <w:trHeight w:val="360" w:hRule="atLeast"/>
          <w:jc w:val="center"/>
        </w:trPr>
        <w:tc>
          <w:tcPr>
            <w:tcW w:w="1092" w:type="dxa"/>
            <w:tcBorders>
              <w:tl2br w:val="nil"/>
              <w:tr2bl w:val="nil"/>
            </w:tcBorders>
            <w:vAlign w:val="center"/>
          </w:tcPr>
          <w:p>
            <w:pPr>
              <w:pStyle w:val="24"/>
              <w:spacing w:line="360" w:lineRule="exact"/>
              <w:rPr>
                <w:rFonts w:hint="default" w:ascii="Times New Roman" w:hAnsi="Times New Roman" w:cs="Times New Roman" w:eastAsiaTheme="minorEastAsia"/>
                <w:color w:val="000000" w:themeColor="text1"/>
                <w:spacing w:val="0"/>
                <w:lang w:val="en-US" w:eastAsia="zh-CN"/>
              </w:rPr>
            </w:pPr>
            <w:r>
              <w:rPr>
                <w:rFonts w:hint="eastAsia" w:ascii="Times New Roman" w:hAnsi="Times New Roman" w:cs="Times New Roman"/>
                <w:color w:val="000000" w:themeColor="text1"/>
                <w:spacing w:val="0"/>
                <w:lang w:val="en-US" w:eastAsia="zh-CN"/>
              </w:rPr>
              <w:t>4</w:t>
            </w:r>
          </w:p>
        </w:tc>
        <w:tc>
          <w:tcPr>
            <w:tcW w:w="2027" w:type="dxa"/>
            <w:tcBorders>
              <w:tl2br w:val="nil"/>
              <w:tr2bl w:val="nil"/>
            </w:tcBorders>
            <w:vAlign w:val="center"/>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lang w:val="en-US" w:eastAsia="zh-CN"/>
              </w:rPr>
              <w:t>双枪</w:t>
            </w:r>
            <w:r>
              <w:rPr>
                <w:rFonts w:ascii="Times New Roman" w:hAnsi="Times New Roman" w:cs="Times New Roman"/>
                <w:color w:val="000000" w:themeColor="text1"/>
                <w:spacing w:val="0"/>
              </w:rPr>
              <w:t>加油机</w:t>
            </w:r>
          </w:p>
        </w:tc>
        <w:tc>
          <w:tcPr>
            <w:tcW w:w="2067" w:type="dxa"/>
            <w:tcBorders>
              <w:tl2br w:val="nil"/>
              <w:tr2bl w:val="nil"/>
            </w:tcBorders>
            <w:vAlign w:val="center"/>
          </w:tcPr>
          <w:p>
            <w:pPr>
              <w:pStyle w:val="24"/>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2枪</w:t>
            </w:r>
          </w:p>
        </w:tc>
        <w:tc>
          <w:tcPr>
            <w:tcW w:w="1224" w:type="dxa"/>
            <w:tcBorders>
              <w:tl2br w:val="nil"/>
              <w:tr2bl w:val="nil"/>
            </w:tcBorders>
            <w:vAlign w:val="center"/>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lang w:val="en-US" w:eastAsia="zh-CN"/>
              </w:rPr>
              <w:t>6</w:t>
            </w:r>
            <w:r>
              <w:rPr>
                <w:rFonts w:ascii="Times New Roman" w:hAnsi="Times New Roman" w:cs="Times New Roman"/>
                <w:color w:val="000000" w:themeColor="text1"/>
                <w:spacing w:val="0"/>
              </w:rPr>
              <w:t>台</w:t>
            </w:r>
          </w:p>
        </w:tc>
        <w:tc>
          <w:tcPr>
            <w:tcW w:w="1902" w:type="dxa"/>
            <w:tcBorders>
              <w:tl2br w:val="nil"/>
              <w:tr2bl w:val="nil"/>
            </w:tcBorders>
            <w:vAlign w:val="center"/>
          </w:tcPr>
          <w:p>
            <w:pPr>
              <w:pStyle w:val="24"/>
              <w:spacing w:line="360" w:lineRule="exact"/>
              <w:rPr>
                <w:rFonts w:ascii="Times New Roman" w:hAnsi="Times New Roman" w:cs="Times New Roman"/>
                <w:color w:val="000000" w:themeColor="text1"/>
                <w:spacing w:val="0"/>
              </w:rPr>
            </w:pPr>
            <w:r>
              <w:rPr>
                <w:rFonts w:ascii="Times New Roman" w:hAnsi="Times New Roman" w:cs="Times New Roman"/>
                <w:color w:val="000000" w:themeColor="text1"/>
                <w:spacing w:val="0"/>
              </w:rPr>
              <w:t>共</w:t>
            </w:r>
            <w:r>
              <w:rPr>
                <w:rFonts w:hint="eastAsia" w:ascii="Times New Roman" w:hAnsi="Times New Roman" w:cs="Times New Roman"/>
                <w:color w:val="000000" w:themeColor="text1"/>
                <w:spacing w:val="0"/>
                <w:lang w:val="en-US" w:eastAsia="zh-CN"/>
              </w:rPr>
              <w:t>12</w:t>
            </w:r>
            <w:r>
              <w:rPr>
                <w:rFonts w:ascii="Times New Roman" w:hAnsi="Times New Roman" w:cs="Times New Roman"/>
                <w:color w:val="000000" w:themeColor="text1"/>
                <w:spacing w:val="0"/>
              </w:rPr>
              <w:t>枪</w:t>
            </w:r>
          </w:p>
        </w:tc>
      </w:tr>
    </w:tbl>
    <w:p>
      <w:pPr>
        <w:spacing w:line="500" w:lineRule="exact"/>
        <w:ind w:firstLine="482" w:firstLineChars="200"/>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（4）消防</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本项目主要消防设施列于表2-4。</w:t>
      </w:r>
    </w:p>
    <w:p>
      <w:pPr>
        <w:spacing w:line="360" w:lineRule="auto"/>
        <w:ind w:firstLine="316" w:firstLineChars="150"/>
        <w:jc w:val="center"/>
        <w:rPr>
          <w:rFonts w:ascii="Times New Roman" w:hAnsi="Times New Roman" w:cs="Times New Roman"/>
          <w:b/>
          <w:color w:val="000000" w:themeColor="text1"/>
          <w:szCs w:val="21"/>
        </w:rPr>
      </w:pPr>
      <w:r>
        <w:rPr>
          <w:rFonts w:ascii="Times New Roman" w:hAnsi="Times New Roman" w:cs="Times New Roman"/>
          <w:b/>
          <w:color w:val="000000" w:themeColor="text1"/>
          <w:szCs w:val="21"/>
        </w:rPr>
        <w:t>表2-4 主要消防设施一览表</w:t>
      </w:r>
    </w:p>
    <w:tbl>
      <w:tblPr>
        <w:tblStyle w:val="14"/>
        <w:tblW w:w="8946" w:type="dxa"/>
        <w:jc w:val="center"/>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Layout w:type="fixed"/>
        <w:tblCellMar>
          <w:top w:w="0" w:type="dxa"/>
          <w:left w:w="108" w:type="dxa"/>
          <w:bottom w:w="0" w:type="dxa"/>
          <w:right w:w="108" w:type="dxa"/>
        </w:tblCellMar>
      </w:tblPr>
      <w:tblGrid>
        <w:gridCol w:w="761"/>
        <w:gridCol w:w="2348"/>
        <w:gridCol w:w="1644"/>
        <w:gridCol w:w="2048"/>
        <w:gridCol w:w="749"/>
        <w:gridCol w:w="1396"/>
      </w:tblGrid>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510" w:hRule="atLeast"/>
          <w:jc w:val="center"/>
        </w:trPr>
        <w:tc>
          <w:tcPr>
            <w:tcW w:w="761" w:type="dxa"/>
            <w:tcBorders>
              <w:tl2br w:val="nil"/>
              <w:tr2bl w:val="nil"/>
            </w:tcBorders>
          </w:tcPr>
          <w:p>
            <w:pPr>
              <w:pStyle w:val="24"/>
              <w:spacing w:line="360" w:lineRule="exact"/>
              <w:rPr>
                <w:rFonts w:ascii="Times New Roman" w:hAnsi="Times New Roman" w:cs="Times New Roman"/>
                <w:b/>
                <w:bCs/>
                <w:color w:val="000000" w:themeColor="text1"/>
                <w:spacing w:val="0"/>
              </w:rPr>
            </w:pPr>
            <w:bookmarkStart w:id="217" w:name="_Toc30592_WPSOffice_Level3"/>
            <w:bookmarkStart w:id="218" w:name="_Toc532817021"/>
            <w:bookmarkStart w:id="219" w:name="_Toc4133_WPSOffice_Level3"/>
            <w:bookmarkStart w:id="220" w:name="_Toc11135_WPSOffice_Level3"/>
            <w:bookmarkStart w:id="221" w:name="_Toc31869_WPSOffice_Level3"/>
            <w:bookmarkStart w:id="222" w:name="_Toc31825_WPSOffice_Level3"/>
            <w:bookmarkStart w:id="223" w:name="_Toc5418"/>
            <w:r>
              <w:rPr>
                <w:rFonts w:hint="eastAsia" w:ascii="Times New Roman" w:hAnsi="Times New Roman" w:cs="Times New Roman"/>
                <w:b/>
                <w:bCs/>
                <w:color w:val="000000" w:themeColor="text1"/>
                <w:spacing w:val="0"/>
              </w:rPr>
              <w:t>序号</w:t>
            </w:r>
          </w:p>
        </w:tc>
        <w:tc>
          <w:tcPr>
            <w:tcW w:w="2348" w:type="dxa"/>
            <w:tcBorders>
              <w:tl2br w:val="nil"/>
              <w:tr2bl w:val="nil"/>
            </w:tcBorders>
          </w:tcPr>
          <w:p>
            <w:pPr>
              <w:pStyle w:val="24"/>
              <w:spacing w:line="360" w:lineRule="exact"/>
              <w:rPr>
                <w:rFonts w:ascii="Times New Roman" w:hAnsi="Times New Roman" w:cs="Times New Roman"/>
                <w:b/>
                <w:bCs/>
                <w:color w:val="000000" w:themeColor="text1"/>
                <w:spacing w:val="0"/>
              </w:rPr>
            </w:pPr>
            <w:r>
              <w:rPr>
                <w:rFonts w:hint="eastAsia" w:ascii="Times New Roman" w:hAnsi="Times New Roman" w:cs="Times New Roman"/>
                <w:b/>
                <w:bCs/>
                <w:color w:val="000000" w:themeColor="text1"/>
                <w:spacing w:val="0"/>
              </w:rPr>
              <w:t>名称</w:t>
            </w:r>
          </w:p>
        </w:tc>
        <w:tc>
          <w:tcPr>
            <w:tcW w:w="1644" w:type="dxa"/>
            <w:tcBorders>
              <w:tl2br w:val="nil"/>
              <w:tr2bl w:val="nil"/>
            </w:tcBorders>
          </w:tcPr>
          <w:p>
            <w:pPr>
              <w:pStyle w:val="24"/>
              <w:spacing w:line="360" w:lineRule="exact"/>
              <w:rPr>
                <w:rFonts w:ascii="Times New Roman" w:hAnsi="Times New Roman" w:cs="Times New Roman"/>
                <w:b/>
                <w:bCs/>
                <w:color w:val="000000" w:themeColor="text1"/>
                <w:spacing w:val="0"/>
              </w:rPr>
            </w:pPr>
            <w:r>
              <w:rPr>
                <w:rFonts w:hint="eastAsia" w:ascii="Times New Roman" w:hAnsi="Times New Roman" w:cs="Times New Roman"/>
                <w:b/>
                <w:bCs/>
                <w:color w:val="000000" w:themeColor="text1"/>
                <w:spacing w:val="0"/>
              </w:rPr>
              <w:t>规格</w:t>
            </w:r>
          </w:p>
        </w:tc>
        <w:tc>
          <w:tcPr>
            <w:tcW w:w="2048" w:type="dxa"/>
            <w:tcBorders>
              <w:tl2br w:val="nil"/>
              <w:tr2bl w:val="nil"/>
            </w:tcBorders>
          </w:tcPr>
          <w:p>
            <w:pPr>
              <w:pStyle w:val="24"/>
              <w:spacing w:line="360" w:lineRule="exact"/>
              <w:rPr>
                <w:rFonts w:ascii="Times New Roman" w:hAnsi="Times New Roman" w:cs="Times New Roman"/>
                <w:b/>
                <w:bCs/>
                <w:color w:val="000000" w:themeColor="text1"/>
                <w:spacing w:val="0"/>
              </w:rPr>
            </w:pPr>
            <w:r>
              <w:rPr>
                <w:rFonts w:hint="eastAsia" w:ascii="Times New Roman" w:hAnsi="Times New Roman" w:cs="Times New Roman"/>
                <w:b/>
                <w:bCs/>
                <w:color w:val="000000" w:themeColor="text1"/>
                <w:spacing w:val="0"/>
              </w:rPr>
              <w:t>单位</w:t>
            </w:r>
          </w:p>
        </w:tc>
        <w:tc>
          <w:tcPr>
            <w:tcW w:w="749" w:type="dxa"/>
            <w:tcBorders>
              <w:tl2br w:val="nil"/>
              <w:tr2bl w:val="nil"/>
            </w:tcBorders>
          </w:tcPr>
          <w:p>
            <w:pPr>
              <w:pStyle w:val="24"/>
              <w:spacing w:line="360" w:lineRule="exact"/>
              <w:rPr>
                <w:rFonts w:ascii="Times New Roman" w:hAnsi="Times New Roman" w:cs="Times New Roman"/>
                <w:b/>
                <w:bCs/>
                <w:color w:val="000000" w:themeColor="text1"/>
                <w:spacing w:val="0"/>
              </w:rPr>
            </w:pPr>
            <w:r>
              <w:rPr>
                <w:rFonts w:hint="eastAsia" w:ascii="Times New Roman" w:hAnsi="Times New Roman" w:cs="Times New Roman"/>
                <w:b/>
                <w:bCs/>
                <w:color w:val="000000" w:themeColor="text1"/>
                <w:spacing w:val="0"/>
              </w:rPr>
              <w:t>数量</w:t>
            </w:r>
          </w:p>
        </w:tc>
        <w:tc>
          <w:tcPr>
            <w:tcW w:w="1396" w:type="dxa"/>
            <w:tcBorders>
              <w:tl2br w:val="nil"/>
              <w:tr2bl w:val="nil"/>
            </w:tcBorders>
            <w:vAlign w:val="center"/>
          </w:tcPr>
          <w:p>
            <w:pPr>
              <w:pStyle w:val="24"/>
              <w:spacing w:line="360" w:lineRule="exact"/>
              <w:rPr>
                <w:rFonts w:ascii="Times New Roman" w:hAnsi="Times New Roman" w:cs="Times New Roman"/>
                <w:b/>
                <w:bCs/>
                <w:color w:val="000000" w:themeColor="text1"/>
                <w:spacing w:val="0"/>
              </w:rPr>
            </w:pPr>
            <w:r>
              <w:rPr>
                <w:rFonts w:hint="eastAsia" w:ascii="Times New Roman" w:hAnsi="Times New Roman" w:cs="Times New Roman"/>
                <w:b/>
                <w:bCs/>
                <w:color w:val="000000" w:themeColor="text1"/>
                <w:spacing w:val="0"/>
              </w:rPr>
              <w:t>是否有效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510" w:hRule="atLeast"/>
          <w:jc w:val="center"/>
        </w:trPr>
        <w:tc>
          <w:tcPr>
            <w:tcW w:w="761" w:type="dxa"/>
            <w:tcBorders>
              <w:tl2br w:val="nil"/>
              <w:tr2bl w:val="nil"/>
            </w:tcBorders>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1</w:t>
            </w:r>
          </w:p>
        </w:tc>
        <w:tc>
          <w:tcPr>
            <w:tcW w:w="2348" w:type="dxa"/>
            <w:tcBorders>
              <w:tl2br w:val="nil"/>
              <w:tr2bl w:val="nil"/>
            </w:tcBorders>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推车式干粉灭火器</w:t>
            </w:r>
          </w:p>
        </w:tc>
        <w:tc>
          <w:tcPr>
            <w:tcW w:w="1644" w:type="dxa"/>
            <w:tcBorders>
              <w:tl2br w:val="nil"/>
              <w:tr2bl w:val="nil"/>
            </w:tcBorders>
          </w:tcPr>
          <w:p>
            <w:pPr>
              <w:pStyle w:val="24"/>
              <w:spacing w:line="360" w:lineRule="exact"/>
              <w:rPr>
                <w:rFonts w:hint="default" w:ascii="Times New Roman" w:hAnsi="Times New Roman" w:cs="Times New Roman" w:eastAsiaTheme="minorEastAsia"/>
                <w:color w:val="000000" w:themeColor="text1"/>
                <w:spacing w:val="0"/>
                <w:lang w:val="en-US" w:eastAsia="zh-CN"/>
              </w:rPr>
            </w:pPr>
            <w:r>
              <w:rPr>
                <w:rFonts w:hint="eastAsia" w:ascii="Times New Roman" w:hAnsi="Times New Roman" w:cs="Times New Roman"/>
                <w:color w:val="000000" w:themeColor="text1"/>
                <w:spacing w:val="0"/>
                <w:lang w:val="en-US" w:eastAsia="zh-CN"/>
              </w:rPr>
              <w:t>100kg</w:t>
            </w:r>
          </w:p>
        </w:tc>
        <w:tc>
          <w:tcPr>
            <w:tcW w:w="2048" w:type="dxa"/>
            <w:tcBorders>
              <w:tl2br w:val="nil"/>
              <w:tr2bl w:val="nil"/>
            </w:tcBorders>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台</w:t>
            </w:r>
          </w:p>
        </w:tc>
        <w:tc>
          <w:tcPr>
            <w:tcW w:w="749" w:type="dxa"/>
            <w:tcBorders>
              <w:tl2br w:val="nil"/>
              <w:tr2bl w:val="nil"/>
            </w:tcBorders>
          </w:tcPr>
          <w:p>
            <w:pPr>
              <w:pStyle w:val="24"/>
              <w:spacing w:line="360" w:lineRule="exact"/>
              <w:rPr>
                <w:rFonts w:hint="eastAsia" w:ascii="Times New Roman" w:hAnsi="Times New Roman" w:cs="Times New Roman" w:eastAsiaTheme="minorEastAsia"/>
                <w:color w:val="000000" w:themeColor="text1"/>
                <w:spacing w:val="0"/>
                <w:lang w:eastAsia="zh-CN"/>
              </w:rPr>
            </w:pPr>
            <w:r>
              <w:rPr>
                <w:rFonts w:hint="eastAsia" w:ascii="Times New Roman" w:hAnsi="Times New Roman" w:cs="Times New Roman"/>
                <w:color w:val="000000" w:themeColor="text1"/>
                <w:spacing w:val="0"/>
                <w:lang w:val="en-US" w:eastAsia="zh-CN"/>
              </w:rPr>
              <w:t>2</w:t>
            </w:r>
          </w:p>
        </w:tc>
        <w:tc>
          <w:tcPr>
            <w:tcW w:w="1396" w:type="dxa"/>
            <w:tcBorders>
              <w:tl2br w:val="nil"/>
              <w:tr2bl w:val="nil"/>
            </w:tcBorders>
            <w:vAlign w:val="center"/>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510" w:hRule="atLeast"/>
          <w:jc w:val="center"/>
        </w:trPr>
        <w:tc>
          <w:tcPr>
            <w:tcW w:w="761" w:type="dxa"/>
            <w:tcBorders>
              <w:tl2br w:val="nil"/>
              <w:tr2bl w:val="nil"/>
            </w:tcBorders>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2</w:t>
            </w:r>
          </w:p>
        </w:tc>
        <w:tc>
          <w:tcPr>
            <w:tcW w:w="2348" w:type="dxa"/>
            <w:tcBorders>
              <w:tl2br w:val="nil"/>
              <w:tr2bl w:val="nil"/>
            </w:tcBorders>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手提式</w:t>
            </w:r>
            <w:r>
              <w:rPr>
                <w:rFonts w:hint="eastAsia" w:ascii="Times New Roman" w:hAnsi="Times New Roman" w:cs="Times New Roman"/>
                <w:color w:val="000000" w:themeColor="text1"/>
                <w:spacing w:val="0"/>
                <w:lang w:val="en-US" w:eastAsia="zh-CN"/>
              </w:rPr>
              <w:t>干粉</w:t>
            </w:r>
            <w:r>
              <w:rPr>
                <w:rFonts w:hint="eastAsia" w:ascii="Times New Roman" w:hAnsi="Times New Roman" w:cs="Times New Roman"/>
                <w:color w:val="000000" w:themeColor="text1"/>
                <w:spacing w:val="0"/>
              </w:rPr>
              <w:t>灭火器</w:t>
            </w:r>
          </w:p>
        </w:tc>
        <w:tc>
          <w:tcPr>
            <w:tcW w:w="1644" w:type="dxa"/>
            <w:tcBorders>
              <w:tl2br w:val="nil"/>
              <w:tr2bl w:val="nil"/>
            </w:tcBorders>
          </w:tcPr>
          <w:p>
            <w:pPr>
              <w:pStyle w:val="24"/>
              <w:spacing w:line="360" w:lineRule="exact"/>
              <w:rPr>
                <w:rFonts w:hint="default" w:ascii="Times New Roman" w:hAnsi="Times New Roman" w:cs="Times New Roman" w:eastAsiaTheme="minorEastAsia"/>
                <w:color w:val="000000" w:themeColor="text1"/>
                <w:spacing w:val="0"/>
                <w:lang w:val="en-US" w:eastAsia="zh-CN"/>
              </w:rPr>
            </w:pPr>
            <w:r>
              <w:rPr>
                <w:rFonts w:hint="eastAsia" w:ascii="Times New Roman" w:hAnsi="Times New Roman" w:cs="Times New Roman"/>
                <w:color w:val="000000" w:themeColor="text1"/>
                <w:spacing w:val="0"/>
                <w:lang w:val="en-US" w:eastAsia="zh-CN"/>
              </w:rPr>
              <w:t>4kg</w:t>
            </w:r>
          </w:p>
        </w:tc>
        <w:tc>
          <w:tcPr>
            <w:tcW w:w="2048" w:type="dxa"/>
            <w:tcBorders>
              <w:tl2br w:val="nil"/>
              <w:tr2bl w:val="nil"/>
            </w:tcBorders>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具</w:t>
            </w:r>
          </w:p>
        </w:tc>
        <w:tc>
          <w:tcPr>
            <w:tcW w:w="749" w:type="dxa"/>
            <w:tcBorders>
              <w:tl2br w:val="nil"/>
              <w:tr2bl w:val="nil"/>
            </w:tcBorders>
          </w:tcPr>
          <w:p>
            <w:pPr>
              <w:pStyle w:val="24"/>
              <w:spacing w:line="360" w:lineRule="exact"/>
              <w:rPr>
                <w:rFonts w:hint="default" w:ascii="Times New Roman" w:hAnsi="Times New Roman" w:cs="Times New Roman" w:eastAsiaTheme="minorEastAsia"/>
                <w:color w:val="000000" w:themeColor="text1"/>
                <w:spacing w:val="0"/>
                <w:lang w:val="en-US" w:eastAsia="zh-CN"/>
              </w:rPr>
            </w:pPr>
            <w:r>
              <w:rPr>
                <w:rFonts w:hint="eastAsia" w:ascii="Times New Roman" w:hAnsi="Times New Roman" w:cs="Times New Roman"/>
                <w:color w:val="000000" w:themeColor="text1"/>
                <w:spacing w:val="0"/>
                <w:lang w:val="en-US" w:eastAsia="zh-CN"/>
              </w:rPr>
              <w:t>20</w:t>
            </w:r>
          </w:p>
        </w:tc>
        <w:tc>
          <w:tcPr>
            <w:tcW w:w="1396" w:type="dxa"/>
            <w:tcBorders>
              <w:tl2br w:val="nil"/>
              <w:tr2bl w:val="nil"/>
            </w:tcBorders>
            <w:vAlign w:val="center"/>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510" w:hRule="atLeast"/>
          <w:jc w:val="center"/>
        </w:trPr>
        <w:tc>
          <w:tcPr>
            <w:tcW w:w="761" w:type="dxa"/>
            <w:tcBorders>
              <w:tl2br w:val="nil"/>
              <w:tr2bl w:val="nil"/>
            </w:tcBorders>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3</w:t>
            </w:r>
          </w:p>
        </w:tc>
        <w:tc>
          <w:tcPr>
            <w:tcW w:w="2348" w:type="dxa"/>
            <w:tcBorders>
              <w:tl2br w:val="nil"/>
              <w:tr2bl w:val="nil"/>
            </w:tcBorders>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消防沙</w:t>
            </w:r>
          </w:p>
        </w:tc>
        <w:tc>
          <w:tcPr>
            <w:tcW w:w="1644" w:type="dxa"/>
            <w:tcBorders>
              <w:tl2br w:val="nil"/>
              <w:tr2bl w:val="nil"/>
            </w:tcBorders>
          </w:tcPr>
          <w:p>
            <w:pPr>
              <w:pStyle w:val="24"/>
              <w:spacing w:line="360" w:lineRule="exact"/>
              <w:rPr>
                <w:rFonts w:hint="default" w:ascii="Times New Roman" w:hAnsi="Times New Roman" w:cs="Times New Roman" w:eastAsiaTheme="minorEastAsia"/>
                <w:color w:val="000000" w:themeColor="text1"/>
                <w:spacing w:val="0"/>
                <w:lang w:val="en-US" w:eastAsia="zh-CN"/>
              </w:rPr>
            </w:pPr>
            <w:r>
              <w:rPr>
                <w:rFonts w:ascii="Times New Roman" w:hAnsi="Times New Roman" w:cs="Times New Roman"/>
                <w:color w:val="000000" w:themeColor="text1"/>
                <w:spacing w:val="0"/>
              </w:rPr>
              <w:t>5</w:t>
            </w:r>
            <w:r>
              <w:rPr>
                <w:rFonts w:hint="eastAsia" w:ascii="Times New Roman" w:hAnsi="Times New Roman" w:cs="Times New Roman"/>
                <w:color w:val="000000" w:themeColor="text1"/>
                <w:spacing w:val="0"/>
              </w:rPr>
              <w:t>m</w:t>
            </w:r>
            <w:r>
              <w:rPr>
                <w:rFonts w:hint="eastAsia" w:ascii="Times New Roman" w:hAnsi="Times New Roman" w:cs="Times New Roman"/>
                <w:color w:val="000000" w:themeColor="text1"/>
                <w:spacing w:val="0"/>
                <w:vertAlign w:val="superscript"/>
              </w:rPr>
              <w:t>3</w:t>
            </w:r>
          </w:p>
        </w:tc>
        <w:tc>
          <w:tcPr>
            <w:tcW w:w="2048" w:type="dxa"/>
            <w:tcBorders>
              <w:tl2br w:val="nil"/>
              <w:tr2bl w:val="nil"/>
            </w:tcBorders>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w:t>
            </w:r>
          </w:p>
        </w:tc>
        <w:tc>
          <w:tcPr>
            <w:tcW w:w="749" w:type="dxa"/>
            <w:tcBorders>
              <w:tl2br w:val="nil"/>
              <w:tr2bl w:val="nil"/>
            </w:tcBorders>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w:t>
            </w:r>
          </w:p>
        </w:tc>
        <w:tc>
          <w:tcPr>
            <w:tcW w:w="1396" w:type="dxa"/>
            <w:tcBorders>
              <w:tl2br w:val="nil"/>
              <w:tr2bl w:val="nil"/>
            </w:tcBorders>
            <w:vAlign w:val="center"/>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510" w:hRule="atLeast"/>
          <w:jc w:val="center"/>
        </w:trPr>
        <w:tc>
          <w:tcPr>
            <w:tcW w:w="761" w:type="dxa"/>
            <w:tcBorders>
              <w:tl2br w:val="nil"/>
              <w:tr2bl w:val="nil"/>
            </w:tcBorders>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4</w:t>
            </w:r>
          </w:p>
        </w:tc>
        <w:tc>
          <w:tcPr>
            <w:tcW w:w="2348" w:type="dxa"/>
            <w:tcBorders>
              <w:tl2br w:val="nil"/>
              <w:tr2bl w:val="nil"/>
            </w:tcBorders>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灭火毯</w:t>
            </w:r>
          </w:p>
        </w:tc>
        <w:tc>
          <w:tcPr>
            <w:tcW w:w="1644" w:type="dxa"/>
            <w:tcBorders>
              <w:tl2br w:val="nil"/>
              <w:tr2bl w:val="nil"/>
            </w:tcBorders>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w:t>
            </w:r>
          </w:p>
        </w:tc>
        <w:tc>
          <w:tcPr>
            <w:tcW w:w="2048" w:type="dxa"/>
            <w:tcBorders>
              <w:tl2br w:val="nil"/>
              <w:tr2bl w:val="nil"/>
            </w:tcBorders>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块</w:t>
            </w:r>
          </w:p>
        </w:tc>
        <w:tc>
          <w:tcPr>
            <w:tcW w:w="749" w:type="dxa"/>
            <w:tcBorders>
              <w:tl2br w:val="nil"/>
              <w:tr2bl w:val="nil"/>
            </w:tcBorders>
            <w:vAlign w:val="top"/>
          </w:tcPr>
          <w:p>
            <w:pPr>
              <w:pStyle w:val="24"/>
              <w:spacing w:line="360" w:lineRule="exact"/>
              <w:rPr>
                <w:rFonts w:hint="eastAsia" w:ascii="Times New Roman" w:hAnsi="Times New Roman" w:cs="Times New Roman" w:eastAsiaTheme="minorEastAsia"/>
                <w:color w:val="000000" w:themeColor="text1"/>
                <w:spacing w:val="0"/>
                <w:lang w:val="en-US" w:eastAsia="zh-CN"/>
              </w:rPr>
            </w:pPr>
            <w:r>
              <w:rPr>
                <w:rFonts w:ascii="Times New Roman" w:hAnsi="Times New Roman" w:cs="Times New Roman"/>
                <w:color w:val="000000" w:themeColor="text1"/>
                <w:spacing w:val="0"/>
              </w:rPr>
              <w:t>5</w:t>
            </w:r>
          </w:p>
        </w:tc>
        <w:tc>
          <w:tcPr>
            <w:tcW w:w="1396" w:type="dxa"/>
            <w:tcBorders>
              <w:tl2br w:val="nil"/>
              <w:tr2bl w:val="nil"/>
            </w:tcBorders>
            <w:vAlign w:val="center"/>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510" w:hRule="atLeast"/>
          <w:jc w:val="center"/>
        </w:trPr>
        <w:tc>
          <w:tcPr>
            <w:tcW w:w="761" w:type="dxa"/>
            <w:tcBorders>
              <w:tl2br w:val="nil"/>
              <w:tr2bl w:val="nil"/>
            </w:tcBorders>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5</w:t>
            </w:r>
          </w:p>
        </w:tc>
        <w:tc>
          <w:tcPr>
            <w:tcW w:w="2348" w:type="dxa"/>
            <w:tcBorders>
              <w:tl2br w:val="nil"/>
              <w:tr2bl w:val="nil"/>
            </w:tcBorders>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吸油毡</w:t>
            </w:r>
          </w:p>
        </w:tc>
        <w:tc>
          <w:tcPr>
            <w:tcW w:w="1644" w:type="dxa"/>
            <w:tcBorders>
              <w:tl2br w:val="nil"/>
              <w:tr2bl w:val="nil"/>
            </w:tcBorders>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w:t>
            </w:r>
          </w:p>
        </w:tc>
        <w:tc>
          <w:tcPr>
            <w:tcW w:w="2048" w:type="dxa"/>
            <w:tcBorders>
              <w:tl2br w:val="nil"/>
              <w:tr2bl w:val="nil"/>
            </w:tcBorders>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块</w:t>
            </w:r>
          </w:p>
        </w:tc>
        <w:tc>
          <w:tcPr>
            <w:tcW w:w="749" w:type="dxa"/>
            <w:tcBorders>
              <w:tl2br w:val="nil"/>
              <w:tr2bl w:val="nil"/>
            </w:tcBorders>
            <w:vAlign w:val="top"/>
          </w:tcPr>
          <w:p>
            <w:pPr>
              <w:pStyle w:val="24"/>
              <w:spacing w:line="360" w:lineRule="exact"/>
              <w:rPr>
                <w:rFonts w:hint="eastAsia" w:ascii="Times New Roman" w:hAnsi="Times New Roman" w:cs="Times New Roman" w:eastAsiaTheme="minorEastAsia"/>
                <w:color w:val="000000" w:themeColor="text1"/>
                <w:spacing w:val="0"/>
                <w:lang w:val="en-US" w:eastAsia="zh-CN"/>
              </w:rPr>
            </w:pPr>
            <w:r>
              <w:rPr>
                <w:rFonts w:hint="eastAsia" w:ascii="Times New Roman" w:hAnsi="Times New Roman" w:cs="Times New Roman"/>
                <w:color w:val="000000" w:themeColor="text1"/>
                <w:spacing w:val="0"/>
              </w:rPr>
              <w:t>5</w:t>
            </w:r>
          </w:p>
        </w:tc>
        <w:tc>
          <w:tcPr>
            <w:tcW w:w="1396" w:type="dxa"/>
            <w:tcBorders>
              <w:tl2br w:val="nil"/>
              <w:tr2bl w:val="nil"/>
            </w:tcBorders>
            <w:vAlign w:val="center"/>
          </w:tcPr>
          <w:p>
            <w:pPr>
              <w:pStyle w:val="24"/>
              <w:spacing w:line="360" w:lineRule="exact"/>
              <w:rPr>
                <w:rFonts w:ascii="Times New Roman" w:hAnsi="Times New Roman" w:cs="Times New Roman"/>
                <w:color w:val="000000" w:themeColor="text1"/>
                <w:spacing w:val="0"/>
              </w:rPr>
            </w:pPr>
            <w:r>
              <w:rPr>
                <w:rFonts w:hint="eastAsia" w:ascii="Times New Roman" w:hAnsi="Times New Roman" w:cs="Times New Roman"/>
                <w:color w:val="000000" w:themeColor="text1"/>
                <w:spacing w:val="0"/>
              </w:rPr>
              <w:t>有效</w:t>
            </w:r>
          </w:p>
        </w:tc>
      </w:tr>
    </w:tbl>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224" w:name="_Toc28639"/>
      <w:r>
        <w:rPr>
          <w:rFonts w:ascii="Times New Roman" w:hAnsi="Times New Roman" w:cs="Times New Roman"/>
          <w:b/>
          <w:bCs/>
          <w:color w:val="000000" w:themeColor="text1"/>
          <w:kern w:val="44"/>
          <w:sz w:val="24"/>
          <w:szCs w:val="24"/>
        </w:rPr>
        <w:t>2.5.4污染物产生及处置情况</w:t>
      </w:r>
      <w:bookmarkEnd w:id="217"/>
      <w:bookmarkEnd w:id="218"/>
      <w:bookmarkEnd w:id="219"/>
      <w:bookmarkEnd w:id="220"/>
      <w:bookmarkEnd w:id="221"/>
      <w:bookmarkEnd w:id="222"/>
      <w:bookmarkEnd w:id="223"/>
      <w:bookmarkEnd w:id="224"/>
    </w:p>
    <w:p>
      <w:pPr>
        <w:spacing w:line="500" w:lineRule="exact"/>
        <w:ind w:firstLine="480" w:firstLineChars="200"/>
        <w:rPr>
          <w:rFonts w:ascii="Times New Roman" w:hAnsi="Times New Roman" w:cs="Times New Roman"/>
          <w:b/>
          <w:bCs/>
          <w:color w:val="000000" w:themeColor="text1"/>
          <w:sz w:val="24"/>
          <w:szCs w:val="24"/>
        </w:rPr>
      </w:pPr>
      <w:r>
        <w:rPr>
          <w:rFonts w:ascii="Times New Roman" w:hAnsi="Times New Roman" w:cs="Times New Roman"/>
          <w:color w:val="000000" w:themeColor="text1"/>
          <w:sz w:val="24"/>
          <w:szCs w:val="24"/>
          <w:lang w:val="zh-CN"/>
        </w:rPr>
        <w:t>运营期污染主要来自于成品油的运输、卸油、加油过程烃类的挥发，来往车辆的噪声、尾气、加油区地面清洁废水、员工和流动人员生活污水及固体废物（包括项目所产生的废手套、废抹布、废油渣、油泥、废油污及废弃消防沙等危险废物）。</w:t>
      </w:r>
    </w:p>
    <w:p>
      <w:pPr>
        <w:pStyle w:val="33"/>
        <w:numPr>
          <w:ilvl w:val="0"/>
          <w:numId w:val="2"/>
        </w:numPr>
        <w:spacing w:line="500" w:lineRule="exact"/>
        <w:ind w:firstLineChars="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废水</w:t>
      </w:r>
    </w:p>
    <w:p>
      <w:pPr>
        <w:pStyle w:val="33"/>
        <w:numPr>
          <w:ilvl w:val="0"/>
          <w:numId w:val="0"/>
        </w:numPr>
        <w:spacing w:line="500" w:lineRule="exact"/>
        <w:ind w:left="420" w:leftChars="0" w:firstLine="420" w:firstLineChars="0"/>
        <w:rPr>
          <w:rFonts w:hint="default" w:ascii="Times New Roman" w:hAnsi="Times New Roman" w:cs="Times New Roman" w:eastAsiaTheme="minorEastAsia"/>
          <w:b w:val="0"/>
          <w:bCs w:val="0"/>
          <w:color w:val="000000" w:themeColor="text1"/>
          <w:sz w:val="24"/>
          <w:szCs w:val="24"/>
          <w:lang w:val="en-US" w:eastAsia="zh-CN"/>
        </w:rPr>
      </w:pPr>
      <w:r>
        <w:rPr>
          <w:rFonts w:hint="eastAsia" w:ascii="Times New Roman" w:hAnsi="Times New Roman" w:cs="Times New Roman"/>
          <w:b w:val="0"/>
          <w:bCs w:val="0"/>
          <w:color w:val="000000" w:themeColor="text1"/>
          <w:sz w:val="24"/>
          <w:szCs w:val="24"/>
          <w:lang w:val="en-US" w:eastAsia="zh-CN"/>
        </w:rPr>
        <w:t>废水经隔离油池+化粪池+地埋式一体化设备后，废水总排口的排放浓度满足《城镇污水处理厂污染物排放标准》（GB18918-2002）中一级B标准后排入项目东面的小渠。</w:t>
      </w:r>
    </w:p>
    <w:p>
      <w:pPr>
        <w:spacing w:line="50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（2）废气</w:t>
      </w:r>
    </w:p>
    <w:p>
      <w:pPr>
        <w:spacing w:line="500" w:lineRule="exact"/>
        <w:ind w:firstLine="480" w:firstLineChars="200"/>
        <w:rPr>
          <w:rFonts w:hint="default" w:ascii="Times New Roman" w:hAnsi="Times New Roman" w:cs="Times New Roman" w:eastAsiaTheme="minorEastAsia"/>
          <w:color w:val="000000" w:themeColor="text1"/>
          <w:sz w:val="24"/>
          <w:szCs w:val="24"/>
          <w:lang w:val="en-US" w:eastAsia="zh-CN"/>
        </w:rPr>
      </w:pPr>
      <w:r>
        <w:rPr>
          <w:rFonts w:ascii="Times New Roman" w:hAnsi="Times New Roman" w:cs="Times New Roman"/>
          <w:color w:val="000000" w:themeColor="text1"/>
          <w:sz w:val="24"/>
          <w:szCs w:val="24"/>
        </w:rPr>
        <w:t>项目</w:t>
      </w:r>
      <w:r>
        <w:rPr>
          <w:rFonts w:hint="eastAsia" w:ascii="Times New Roman" w:hAnsi="Times New Roman" w:cs="Times New Roman"/>
          <w:color w:val="000000" w:themeColor="text1"/>
          <w:sz w:val="24"/>
          <w:szCs w:val="24"/>
          <w:lang w:val="en-US" w:eastAsia="zh-CN"/>
        </w:rPr>
        <w:t>在卸油过程中</w:t>
      </w:r>
      <w:r>
        <w:rPr>
          <w:rFonts w:ascii="Times New Roman" w:hAnsi="Times New Roman" w:cs="Times New Roman"/>
          <w:color w:val="000000" w:themeColor="text1"/>
          <w:sz w:val="24"/>
          <w:szCs w:val="24"/>
        </w:rPr>
        <w:t>采用</w:t>
      </w:r>
      <w:r>
        <w:rPr>
          <w:rFonts w:hint="eastAsia" w:ascii="Times New Roman" w:hAnsi="Times New Roman" w:cs="Times New Roman"/>
          <w:color w:val="000000" w:themeColor="text1"/>
          <w:sz w:val="24"/>
          <w:szCs w:val="24"/>
          <w:lang w:val="en-US" w:eastAsia="zh-CN"/>
        </w:rPr>
        <w:t>密闭卸油方式，经采用卸油油气回收系统及加油站油气回收系统后，能够回收逸散的油气，有效减少非甲烷总烃的排放，回收效率为95%，排气筒高度为4m，本项目油气经油气回收系统处理后，油气回收装置排气筒排放浓度小于25g/</w:t>
      </w:r>
      <w:r>
        <w:rPr>
          <w:rFonts w:ascii="Times New Roman" w:hAnsi="Times New Roman" w:cs="Times New Roman"/>
          <w:color w:val="000000" w:themeColor="text1"/>
          <w:sz w:val="24"/>
          <w:szCs w:val="24"/>
        </w:rPr>
        <w:t>m</w:t>
      </w:r>
      <w:r>
        <w:rPr>
          <w:rFonts w:ascii="Times New Roman" w:hAnsi="Times New Roman" w:cs="Times New Roman"/>
          <w:color w:val="000000" w:themeColor="text1"/>
          <w:sz w:val="24"/>
          <w:szCs w:val="24"/>
          <w:vertAlign w:val="superscript"/>
        </w:rPr>
        <w:t>3</w:t>
      </w:r>
      <w:r>
        <w:rPr>
          <w:rFonts w:hint="eastAsia" w:ascii="Times New Roman" w:hAnsi="Times New Roman" w:cs="Times New Roman"/>
          <w:color w:val="000000" w:themeColor="text1"/>
          <w:sz w:val="24"/>
          <w:szCs w:val="24"/>
          <w:lang w:val="en-US" w:eastAsia="zh-CN"/>
        </w:rPr>
        <w:t>，能够满足《加油站大气污染物排放标准》（GB20952-2007）中的相关要求（排气筒高度≥4m，排放浓度≤25g/</w:t>
      </w:r>
      <w:r>
        <w:rPr>
          <w:rFonts w:ascii="Times New Roman" w:hAnsi="Times New Roman" w:cs="Times New Roman"/>
          <w:color w:val="000000" w:themeColor="text1"/>
          <w:sz w:val="24"/>
          <w:szCs w:val="24"/>
        </w:rPr>
        <w:t>m</w:t>
      </w:r>
      <w:r>
        <w:rPr>
          <w:rFonts w:ascii="Times New Roman" w:hAnsi="Times New Roman" w:cs="Times New Roman"/>
          <w:color w:val="000000" w:themeColor="text1"/>
          <w:sz w:val="24"/>
          <w:szCs w:val="24"/>
          <w:vertAlign w:val="superscript"/>
        </w:rPr>
        <w:t>3</w:t>
      </w:r>
      <w:r>
        <w:rPr>
          <w:rFonts w:hint="eastAsia" w:ascii="Times New Roman" w:hAnsi="Times New Roman" w:cs="Times New Roman"/>
          <w:color w:val="000000" w:themeColor="text1"/>
          <w:sz w:val="24"/>
          <w:szCs w:val="24"/>
          <w:lang w:val="en-US" w:eastAsia="zh-CN"/>
        </w:rPr>
        <w:t>）。</w:t>
      </w:r>
    </w:p>
    <w:p>
      <w:pPr>
        <w:spacing w:line="500" w:lineRule="exact"/>
        <w:ind w:left="420"/>
        <w:rPr>
          <w:rFonts w:ascii="Times New Roman" w:hAnsi="Times New Roman" w:cs="Times New Roman"/>
          <w:b/>
          <w:bCs/>
          <w:color w:val="000000" w:themeColor="text1"/>
          <w:sz w:val="24"/>
          <w:szCs w:val="24"/>
        </w:rPr>
      </w:pPr>
      <w:r>
        <w:rPr>
          <w:rFonts w:hint="eastAsia" w:ascii="Times New Roman" w:hAnsi="Times New Roman" w:cs="Times New Roman"/>
          <w:b/>
          <w:bCs/>
          <w:color w:val="000000" w:themeColor="text1"/>
          <w:sz w:val="24"/>
          <w:szCs w:val="24"/>
        </w:rPr>
        <w:t>（3）噪声</w:t>
      </w:r>
    </w:p>
    <w:p>
      <w:pPr>
        <w:spacing w:line="500" w:lineRule="exact"/>
        <w:ind w:firstLine="480" w:firstLineChars="200"/>
        <w:rPr>
          <w:rFonts w:hint="default" w:ascii="Times New Roman" w:hAnsi="Times New Roman" w:cs="Times New Roman" w:eastAsiaTheme="minorEastAsia"/>
          <w:color w:val="000000" w:themeColor="text1"/>
          <w:sz w:val="24"/>
          <w:szCs w:val="24"/>
          <w:lang w:val="en-US" w:eastAsia="zh-CN"/>
        </w:rPr>
      </w:pPr>
      <w:r>
        <w:rPr>
          <w:rFonts w:hint="eastAsia" w:ascii="Times New Roman" w:hAnsi="Times New Roman" w:cs="Times New Roman"/>
          <w:color w:val="000000" w:themeColor="text1"/>
          <w:sz w:val="24"/>
          <w:szCs w:val="24"/>
        </w:rPr>
        <w:t>项目噪声主要为加油机、油泵等机械动力设备在运行时产生的噪声，以及进出加油站的汽车产生的交通噪声，声压级在</w:t>
      </w:r>
      <w:r>
        <w:rPr>
          <w:rFonts w:hint="eastAsia" w:ascii="Times New Roman" w:hAnsi="Times New Roman" w:cs="Times New Roman"/>
          <w:color w:val="000000" w:themeColor="text1"/>
          <w:sz w:val="24"/>
          <w:szCs w:val="24"/>
          <w:lang w:val="en-US" w:eastAsia="zh-CN"/>
        </w:rPr>
        <w:t>50~70</w:t>
      </w:r>
      <w:r>
        <w:rPr>
          <w:rFonts w:hint="eastAsia" w:ascii="Times New Roman" w:hAnsi="Times New Roman" w:cs="Times New Roman"/>
          <w:color w:val="000000" w:themeColor="text1"/>
          <w:sz w:val="24"/>
          <w:szCs w:val="24"/>
        </w:rPr>
        <w:t>dB(A)之间</w:t>
      </w:r>
      <w:r>
        <w:rPr>
          <w:rFonts w:hint="eastAsia" w:ascii="Times New Roman" w:hAnsi="Times New Roman" w:cs="Times New Roman"/>
          <w:color w:val="000000" w:themeColor="text1"/>
          <w:sz w:val="24"/>
          <w:szCs w:val="24"/>
          <w:lang w:eastAsia="zh-CN"/>
        </w:rPr>
        <w:t>，</w:t>
      </w:r>
      <w:r>
        <w:rPr>
          <w:rFonts w:hint="eastAsia" w:ascii="Times New Roman" w:hAnsi="Times New Roman" w:cs="Times New Roman"/>
          <w:color w:val="000000" w:themeColor="text1"/>
          <w:sz w:val="24"/>
          <w:szCs w:val="24"/>
          <w:lang w:val="en-US" w:eastAsia="zh-CN"/>
        </w:rPr>
        <w:t>根据监测结果，工况期间项目厂界噪声值可达到《工业企业厂界环境噪声排放标准》（GB12348-2008）2、4a类标准。</w:t>
      </w:r>
    </w:p>
    <w:p>
      <w:pPr>
        <w:spacing w:line="500" w:lineRule="exact"/>
        <w:ind w:left="420"/>
        <w:rPr>
          <w:rFonts w:ascii="Times New Roman" w:hAnsi="Times New Roman" w:cs="Times New Roman"/>
          <w:b/>
          <w:bCs/>
          <w:color w:val="000000" w:themeColor="text1"/>
          <w:sz w:val="24"/>
          <w:szCs w:val="24"/>
        </w:rPr>
      </w:pPr>
      <w:r>
        <w:rPr>
          <w:rFonts w:hint="eastAsia" w:ascii="Times New Roman" w:hAnsi="Times New Roman" w:cs="Times New Roman"/>
          <w:b/>
          <w:bCs/>
          <w:color w:val="000000" w:themeColor="text1"/>
          <w:sz w:val="24"/>
          <w:szCs w:val="24"/>
        </w:rPr>
        <w:t>（</w:t>
      </w:r>
      <w:r>
        <w:rPr>
          <w:rFonts w:ascii="Times New Roman" w:hAnsi="Times New Roman" w:cs="Times New Roman"/>
          <w:b/>
          <w:bCs/>
          <w:color w:val="000000" w:themeColor="text1"/>
          <w:sz w:val="24"/>
          <w:szCs w:val="24"/>
        </w:rPr>
        <w:t>4</w:t>
      </w:r>
      <w:r>
        <w:rPr>
          <w:rFonts w:hint="eastAsia" w:ascii="Times New Roman" w:hAnsi="Times New Roman" w:cs="Times New Roman"/>
          <w:b/>
          <w:bCs/>
          <w:color w:val="000000" w:themeColor="text1"/>
          <w:sz w:val="24"/>
          <w:szCs w:val="24"/>
        </w:rPr>
        <w:t>）</w:t>
      </w:r>
      <w:r>
        <w:rPr>
          <w:rFonts w:ascii="Times New Roman" w:hAnsi="Times New Roman" w:cs="Times New Roman"/>
          <w:b/>
          <w:bCs/>
          <w:color w:val="000000" w:themeColor="text1"/>
          <w:sz w:val="24"/>
          <w:szCs w:val="24"/>
        </w:rPr>
        <w:t>固体废物</w:t>
      </w:r>
      <w:bookmarkStart w:id="225" w:name="_Toc29772_WPSOffice_Level2"/>
      <w:bookmarkStart w:id="226" w:name="_Toc478051491"/>
      <w:bookmarkStart w:id="227" w:name="_Toc532817022"/>
      <w:bookmarkStart w:id="228" w:name="_Toc31826"/>
      <w:bookmarkStart w:id="229" w:name="_Toc23733_WPSOffice_Level2"/>
      <w:bookmarkStart w:id="230" w:name="_Toc28214_WPSOffice_Level2"/>
      <w:bookmarkStart w:id="231" w:name="_Toc10928_WPSOffice_Level2"/>
      <w:bookmarkStart w:id="232" w:name="_Toc30548_WPSOffice_Level2"/>
      <w:bookmarkStart w:id="233" w:name="_Toc532817023"/>
    </w:p>
    <w:p>
      <w:pPr>
        <w:spacing w:line="500" w:lineRule="exact"/>
        <w:ind w:firstLine="480" w:firstLineChars="200"/>
        <w:rPr>
          <w:rFonts w:hint="eastAsia" w:ascii="Times New Roman" w:hAnsi="Times New Roman" w:cs="Times New Roman"/>
          <w:color w:val="000000" w:themeColor="text1"/>
          <w:sz w:val="24"/>
          <w:szCs w:val="24"/>
          <w:lang w:val="en-US" w:eastAsia="zh-CN"/>
        </w:rPr>
      </w:pPr>
      <w:r>
        <w:rPr>
          <w:rFonts w:hint="eastAsia" w:ascii="Times New Roman" w:hAnsi="Times New Roman" w:cs="Times New Roman"/>
          <w:color w:val="000000" w:themeColor="text1"/>
          <w:sz w:val="24"/>
          <w:szCs w:val="24"/>
        </w:rPr>
        <w:t>项目固废主要包括废油及油渣和生活垃圾。</w:t>
      </w:r>
      <w:r>
        <w:rPr>
          <w:rFonts w:hint="eastAsia" w:ascii="Times New Roman" w:hAnsi="Times New Roman" w:cs="Times New Roman"/>
          <w:color w:val="000000" w:themeColor="text1"/>
          <w:sz w:val="24"/>
          <w:szCs w:val="24"/>
          <w:lang w:val="en-US" w:eastAsia="zh-CN"/>
        </w:rPr>
        <w:t>生活垃圾主要是废纸，果皮、塑料袋；</w:t>
      </w:r>
    </w:p>
    <w:p>
      <w:pPr>
        <w:spacing w:line="500" w:lineRule="exact"/>
        <w:ind w:firstLine="480" w:firstLineChars="200"/>
        <w:rPr>
          <w:rFonts w:hint="eastAsia" w:ascii="Times New Roman" w:hAnsi="Times New Roman" w:cs="Times New Roman"/>
          <w:color w:val="000000" w:themeColor="text1"/>
          <w:sz w:val="24"/>
          <w:szCs w:val="24"/>
          <w:lang w:val="en-US" w:eastAsia="zh-CN"/>
        </w:rPr>
      </w:pPr>
      <w:r>
        <w:rPr>
          <w:rFonts w:hint="eastAsia" w:ascii="Times New Roman" w:hAnsi="Times New Roman" w:cs="Times New Roman"/>
          <w:color w:val="000000" w:themeColor="text1"/>
          <w:sz w:val="24"/>
          <w:szCs w:val="24"/>
          <w:lang w:val="en-US" w:eastAsia="zh-CN"/>
        </w:rPr>
        <w:t>一般固废：废纸，果皮，塑料袋，定期由环卫部门收集处理。</w:t>
      </w:r>
    </w:p>
    <w:p>
      <w:pPr>
        <w:spacing w:line="500" w:lineRule="exact"/>
        <w:ind w:firstLine="480" w:firstLineChars="200"/>
        <w:rPr>
          <w:rFonts w:hint="eastAsia" w:ascii="Times New Roman" w:hAnsi="Times New Roman" w:cs="Times New Roman"/>
          <w:color w:val="000000" w:themeColor="text1"/>
          <w:sz w:val="24"/>
          <w:szCs w:val="24"/>
        </w:rPr>
      </w:pPr>
      <w:r>
        <w:rPr>
          <w:rFonts w:hint="eastAsia" w:ascii="Times New Roman" w:hAnsi="Times New Roman" w:cs="Times New Roman"/>
          <w:color w:val="000000" w:themeColor="text1"/>
          <w:sz w:val="24"/>
          <w:szCs w:val="24"/>
          <w:lang w:val="en-US" w:eastAsia="zh-CN"/>
        </w:rPr>
        <w:t>危险废物：隔油池废油，油罐污泥根据《国家危险废物名录》（</w:t>
      </w:r>
      <w:r>
        <w:rPr>
          <w:rFonts w:hint="default" w:ascii="Times New Roman" w:hAnsi="Times New Roman" w:cs="Times New Roman"/>
          <w:color w:val="000000" w:themeColor="text1"/>
          <w:sz w:val="24"/>
          <w:szCs w:val="24"/>
          <w:lang w:val="en-US" w:eastAsia="zh-CN"/>
        </w:rPr>
        <w:t>2016</w:t>
      </w:r>
      <w:r>
        <w:rPr>
          <w:rFonts w:hint="eastAsia" w:ascii="Times New Roman" w:hAnsi="Times New Roman" w:cs="Times New Roman"/>
          <w:color w:val="000000" w:themeColor="text1"/>
          <w:sz w:val="24"/>
          <w:szCs w:val="24"/>
          <w:lang w:val="en-US" w:eastAsia="zh-CN"/>
        </w:rPr>
        <w:t>）属于</w:t>
      </w:r>
      <w:r>
        <w:rPr>
          <w:rFonts w:hint="default" w:ascii="Times New Roman" w:hAnsi="Times New Roman" w:cs="Times New Roman"/>
          <w:color w:val="000000" w:themeColor="text1"/>
          <w:sz w:val="24"/>
          <w:szCs w:val="24"/>
          <w:lang w:val="en-US" w:eastAsia="zh-CN"/>
        </w:rPr>
        <w:t>HW08</w:t>
      </w:r>
      <w:r>
        <w:rPr>
          <w:rFonts w:hint="eastAsia" w:ascii="Times New Roman" w:hAnsi="Times New Roman" w:cs="Times New Roman"/>
          <w:color w:val="000000" w:themeColor="text1"/>
          <w:sz w:val="24"/>
          <w:szCs w:val="24"/>
          <w:lang w:val="en-US" w:eastAsia="zh-CN"/>
        </w:rPr>
        <w:t>废矿物与含矿物油废物</w:t>
      </w:r>
      <w:r>
        <w:rPr>
          <w:rFonts w:hint="default" w:ascii="Times New Roman" w:hAnsi="Times New Roman" w:cs="Times New Roman"/>
          <w:color w:val="000000" w:themeColor="text1"/>
          <w:sz w:val="24"/>
          <w:szCs w:val="24"/>
          <w:lang w:val="en-US" w:eastAsia="zh-CN"/>
        </w:rPr>
        <w:t>900-249-08</w:t>
      </w:r>
      <w:r>
        <w:rPr>
          <w:rFonts w:hint="eastAsia" w:ascii="Times New Roman" w:hAnsi="Times New Roman" w:cs="Times New Roman"/>
          <w:color w:val="000000" w:themeColor="text1"/>
          <w:sz w:val="24"/>
          <w:szCs w:val="24"/>
          <w:lang w:val="en-US" w:eastAsia="zh-CN"/>
        </w:rPr>
        <w:t>，委托有资质单尾处理。</w:t>
      </w:r>
      <w:r>
        <w:rPr>
          <w:rFonts w:hint="eastAsia" w:ascii="Times New Roman" w:hAnsi="Times New Roman" w:cs="Times New Roman"/>
          <w:color w:val="000000" w:themeColor="text1"/>
          <w:sz w:val="24"/>
          <w:szCs w:val="24"/>
        </w:rPr>
        <w:t>综上，项目不会对周边环境造成明显影响。</w:t>
      </w:r>
    </w:p>
    <w:p>
      <w:pPr>
        <w:keepNext/>
        <w:keepLines/>
        <w:spacing w:beforeLines="100" w:afterLines="100" w:line="500" w:lineRule="exact"/>
        <w:jc w:val="left"/>
        <w:outlineLvl w:val="1"/>
        <w:rPr>
          <w:rFonts w:ascii="Times New Roman" w:hAnsi="Times New Roman" w:cs="Times New Roman"/>
          <w:b/>
          <w:bCs/>
          <w:color w:val="000000" w:themeColor="text1"/>
          <w:kern w:val="44"/>
          <w:sz w:val="24"/>
          <w:szCs w:val="24"/>
        </w:rPr>
      </w:pPr>
      <w:bookmarkStart w:id="234" w:name="_Toc29718"/>
      <w:r>
        <w:rPr>
          <w:rFonts w:ascii="Times New Roman" w:hAnsi="Times New Roman" w:cs="Times New Roman"/>
          <w:b/>
          <w:bCs/>
          <w:color w:val="000000" w:themeColor="text1"/>
          <w:kern w:val="44"/>
          <w:sz w:val="24"/>
          <w:szCs w:val="24"/>
        </w:rPr>
        <w:t xml:space="preserve">2.6 </w:t>
      </w:r>
      <w:r>
        <w:rPr>
          <w:rFonts w:hint="eastAsia" w:ascii="Times New Roman" w:hAnsi="Times New Roman" w:cs="Times New Roman"/>
          <w:b/>
          <w:bCs/>
          <w:color w:val="000000" w:themeColor="text1"/>
          <w:kern w:val="44"/>
          <w:sz w:val="24"/>
          <w:szCs w:val="24"/>
        </w:rPr>
        <w:t>项目水平衡</w:t>
      </w:r>
      <w:bookmarkEnd w:id="234"/>
    </w:p>
    <w:p>
      <w:r>
        <w:tab/>
      </w:r>
      <w:r>
        <w:rPr>
          <w:rFonts w:eastAsia="宋体"/>
        </w:rPr>
        <w:drawing>
          <wp:inline distT="0" distB="0" distL="0" distR="0">
            <wp:extent cx="5233035" cy="2037715"/>
            <wp:effectExtent l="0" t="0" r="9525" b="444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30"/>
                    <a:stretch>
                      <a:fillRect/>
                    </a:stretch>
                  </pic:blipFill>
                  <pic:spPr>
                    <a:xfrm>
                      <a:off x="0" y="0"/>
                      <a:ext cx="5233035" cy="2037715"/>
                    </a:xfrm>
                    <a:prstGeom prst="rect">
                      <a:avLst/>
                    </a:prstGeom>
                  </pic:spPr>
                </pic:pic>
              </a:graphicData>
            </a:graphic>
          </wp:inline>
        </w:drawing>
      </w:r>
    </w:p>
    <w:bookmarkEnd w:id="225"/>
    <w:bookmarkEnd w:id="226"/>
    <w:bookmarkEnd w:id="227"/>
    <w:bookmarkEnd w:id="228"/>
    <w:bookmarkEnd w:id="229"/>
    <w:bookmarkEnd w:id="230"/>
    <w:bookmarkEnd w:id="231"/>
    <w:bookmarkEnd w:id="232"/>
    <w:p>
      <w:pPr>
        <w:keepNext/>
        <w:keepLines/>
        <w:spacing w:beforeLines="100" w:afterLines="100" w:line="500" w:lineRule="exact"/>
        <w:jc w:val="left"/>
        <w:outlineLvl w:val="1"/>
        <w:rPr>
          <w:rFonts w:ascii="Times New Roman" w:hAnsi="Times New Roman" w:cs="Times New Roman"/>
          <w:b/>
          <w:bCs/>
          <w:color w:val="000000" w:themeColor="text1"/>
          <w:kern w:val="44"/>
          <w:sz w:val="24"/>
          <w:szCs w:val="24"/>
        </w:rPr>
      </w:pPr>
      <w:bookmarkStart w:id="235" w:name="_Toc31626"/>
      <w:bookmarkStart w:id="236" w:name="_Toc31265"/>
      <w:bookmarkStart w:id="237" w:name="_Toc22307_WPSOffice_Level2"/>
      <w:bookmarkStart w:id="238" w:name="_Toc31825_WPSOffice_Level2"/>
      <w:bookmarkStart w:id="239" w:name="_Toc31869_WPSOffice_Level2"/>
      <w:bookmarkStart w:id="240" w:name="_Toc11135_WPSOffice_Level2"/>
      <w:bookmarkStart w:id="241" w:name="_Toc30592_WPSOffice_Level2"/>
      <w:r>
        <w:rPr>
          <w:rFonts w:ascii="Times New Roman" w:hAnsi="Times New Roman" w:cs="Times New Roman"/>
          <w:b/>
          <w:bCs/>
          <w:color w:val="000000" w:themeColor="text1"/>
          <w:kern w:val="44"/>
          <w:sz w:val="24"/>
          <w:szCs w:val="24"/>
        </w:rPr>
        <w:t>2.7 环境管理</w:t>
      </w:r>
      <w:bookmarkEnd w:id="233"/>
      <w:bookmarkEnd w:id="235"/>
      <w:bookmarkEnd w:id="236"/>
      <w:bookmarkEnd w:id="237"/>
      <w:bookmarkEnd w:id="238"/>
      <w:bookmarkEnd w:id="239"/>
      <w:bookmarkEnd w:id="240"/>
      <w:bookmarkEnd w:id="241"/>
      <w:r>
        <w:rPr>
          <w:rFonts w:ascii="Times New Roman" w:hAnsi="Times New Roman" w:cs="Times New Roman"/>
          <w:b/>
          <w:bCs/>
          <w:color w:val="000000" w:themeColor="text1"/>
          <w:kern w:val="44"/>
          <w:sz w:val="24"/>
          <w:szCs w:val="24"/>
        </w:rPr>
        <w:tab/>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环境管理是一项经常性的重要工作。环境管理的目的是为了使项目在整个运营期都严格遵守国家和地方的有关环境保护法律法规，监督和检查项目运营过程中环保措施的落实。环境管理机构职责是通过强化环境管理，使项目的运营取得明显的经济效益和环境效益。为了保证环境管理正常有效的进行，加油站必须设置管理机构，建立健全的管理制度及管理办法。环保管理人员职责：</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（1）督促项目环保治理措施、管理措施的实施；</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（2）督促检查项目环保设施的建设及运行情况，并提出改善环境的建议及对策；</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（3）在加油站主要岗位设置环保应急卡，具体格式见附件九；</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（4）定期向各级主管部门汇报项目的环保工作情况。</w:t>
      </w:r>
    </w:p>
    <w:p>
      <w:pPr>
        <w:widowControl/>
        <w:jc w:val="lef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pPr>
        <w:keepNext/>
        <w:keepLines/>
        <w:spacing w:beforeLines="100" w:afterLines="100" w:line="500" w:lineRule="exact"/>
        <w:jc w:val="center"/>
        <w:outlineLvl w:val="0"/>
        <w:rPr>
          <w:rFonts w:ascii="Times New Roman" w:hAnsi="Times New Roman" w:cs="Times New Roman"/>
          <w:b/>
          <w:bCs/>
          <w:color w:val="000000" w:themeColor="text1"/>
          <w:kern w:val="44"/>
          <w:sz w:val="30"/>
          <w:szCs w:val="30"/>
        </w:rPr>
      </w:pPr>
      <w:bookmarkStart w:id="242" w:name="_Toc7504_WPSOffice_Level1"/>
      <w:bookmarkStart w:id="243" w:name="_Toc7910_WPSOffice_Level1"/>
      <w:bookmarkStart w:id="244" w:name="_Toc30980_WPSOffice_Level1"/>
      <w:bookmarkStart w:id="245" w:name="_Toc15669_WPSOffice_Level1"/>
      <w:bookmarkStart w:id="246" w:name="_Toc17161"/>
      <w:bookmarkStart w:id="247" w:name="_Toc921"/>
      <w:bookmarkStart w:id="248" w:name="_Toc1713_WPSOffice_Level1"/>
      <w:bookmarkStart w:id="249" w:name="_Toc532817024"/>
      <w:r>
        <w:rPr>
          <w:rFonts w:ascii="Times New Roman" w:hAnsi="Times New Roman" w:cs="Times New Roman"/>
          <w:b/>
          <w:bCs/>
          <w:color w:val="000000" w:themeColor="text1"/>
          <w:kern w:val="44"/>
          <w:sz w:val="30"/>
          <w:szCs w:val="30"/>
        </w:rPr>
        <w:t>3.环境风险源及环境风险评价</w:t>
      </w:r>
      <w:bookmarkEnd w:id="242"/>
      <w:bookmarkEnd w:id="243"/>
      <w:bookmarkEnd w:id="244"/>
      <w:bookmarkEnd w:id="245"/>
      <w:bookmarkEnd w:id="246"/>
      <w:bookmarkEnd w:id="247"/>
      <w:bookmarkEnd w:id="248"/>
      <w:bookmarkEnd w:id="249"/>
    </w:p>
    <w:p>
      <w:pPr>
        <w:keepNext/>
        <w:keepLines/>
        <w:spacing w:beforeLines="100" w:afterLines="100" w:line="500" w:lineRule="exact"/>
        <w:jc w:val="left"/>
        <w:outlineLvl w:val="1"/>
        <w:rPr>
          <w:rFonts w:ascii="Times New Roman" w:hAnsi="Times New Roman" w:cs="Times New Roman"/>
          <w:b/>
          <w:bCs/>
          <w:color w:val="000000" w:themeColor="text1"/>
          <w:kern w:val="44"/>
          <w:sz w:val="24"/>
          <w:szCs w:val="24"/>
        </w:rPr>
      </w:pPr>
      <w:bookmarkStart w:id="250" w:name="_Toc17407_WPSOffice_Level2"/>
      <w:bookmarkStart w:id="251" w:name="_Toc17534_WPSOffice_Level2"/>
      <w:bookmarkStart w:id="252" w:name="_Toc19654"/>
      <w:bookmarkStart w:id="253" w:name="_Toc532817025"/>
      <w:bookmarkStart w:id="254" w:name="_Toc10454"/>
      <w:bookmarkStart w:id="255" w:name="_Toc4736_WPSOffice_Level2"/>
      <w:bookmarkStart w:id="256" w:name="_Toc1713_WPSOffice_Level2"/>
      <w:bookmarkStart w:id="257" w:name="_Toc2157_WPSOffice_Level2"/>
      <w:bookmarkStart w:id="258" w:name="_Toc16408"/>
      <w:r>
        <w:rPr>
          <w:rFonts w:ascii="Times New Roman" w:hAnsi="Times New Roman" w:cs="Times New Roman"/>
          <w:b/>
          <w:bCs/>
          <w:color w:val="000000" w:themeColor="text1"/>
          <w:kern w:val="44"/>
          <w:sz w:val="24"/>
          <w:szCs w:val="24"/>
        </w:rPr>
        <w:t>3.1环境风险源识别</w:t>
      </w:r>
      <w:bookmarkEnd w:id="250"/>
      <w:bookmarkEnd w:id="251"/>
      <w:bookmarkEnd w:id="252"/>
      <w:bookmarkEnd w:id="253"/>
      <w:bookmarkEnd w:id="254"/>
      <w:bookmarkEnd w:id="255"/>
      <w:bookmarkEnd w:id="256"/>
      <w:bookmarkEnd w:id="257"/>
      <w:bookmarkEnd w:id="258"/>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259" w:name="_Toc15553"/>
      <w:bookmarkStart w:id="260" w:name="_Toc1713_WPSOffice_Level3"/>
      <w:bookmarkStart w:id="261" w:name="_Toc16098_WPSOffice_Level3"/>
      <w:bookmarkStart w:id="262" w:name="_Toc16354"/>
      <w:bookmarkStart w:id="263" w:name="_Toc23861_WPSOffice_Level3"/>
      <w:bookmarkStart w:id="264" w:name="_Toc532817026"/>
      <w:bookmarkStart w:id="265" w:name="_Toc17283_WPSOffice_Level3"/>
      <w:bookmarkStart w:id="266" w:name="_Toc4583_WPSOffice_Level3"/>
      <w:r>
        <w:rPr>
          <w:rFonts w:ascii="Times New Roman" w:hAnsi="Times New Roman" w:cs="Times New Roman"/>
          <w:b/>
          <w:bCs/>
          <w:color w:val="000000" w:themeColor="text1"/>
          <w:kern w:val="44"/>
          <w:sz w:val="24"/>
          <w:szCs w:val="24"/>
        </w:rPr>
        <w:t>3.1.1环境风险定义</w:t>
      </w:r>
      <w:bookmarkEnd w:id="259"/>
      <w:bookmarkEnd w:id="260"/>
      <w:bookmarkEnd w:id="261"/>
      <w:bookmarkEnd w:id="262"/>
      <w:bookmarkEnd w:id="263"/>
      <w:bookmarkEnd w:id="264"/>
      <w:bookmarkEnd w:id="265"/>
      <w:bookmarkEnd w:id="266"/>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加油站的环境风险是指油品在运输、贮存和使用过程中，油品在失控情况下发生的突发事故对环境（或健康）的危害程度。这类事故发生的概率大小及事故造成的环境（或健康）后果影响程度与物料的性质、物料的泄漏量、工艺流程、管理以及防范补救措施等多种因素有关，较难用数字准确表示。但事故一旦发生，将对周围生态环境及人体健康造成比较严重的影响。</w:t>
      </w:r>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267" w:name="_Toc7403_WPSOffice_Level3"/>
      <w:bookmarkStart w:id="268" w:name="_Toc32434_WPSOffice_Level3"/>
      <w:bookmarkStart w:id="269" w:name="_Toc24519"/>
      <w:bookmarkStart w:id="270" w:name="_Toc532817027"/>
      <w:bookmarkStart w:id="271" w:name="_Toc15488"/>
      <w:bookmarkStart w:id="272" w:name="_Toc18826_WPSOffice_Level3"/>
      <w:bookmarkStart w:id="273" w:name="_Toc3286_WPSOffice_Level3"/>
      <w:bookmarkStart w:id="274" w:name="_Toc7088_WPSOffice_Level3"/>
      <w:r>
        <w:rPr>
          <w:rFonts w:ascii="Times New Roman" w:hAnsi="Times New Roman" w:cs="Times New Roman"/>
          <w:b/>
          <w:bCs/>
          <w:color w:val="000000" w:themeColor="text1"/>
          <w:kern w:val="44"/>
          <w:sz w:val="24"/>
          <w:szCs w:val="24"/>
        </w:rPr>
        <w:t>3.1.2环境风险物质</w:t>
      </w:r>
      <w:bookmarkEnd w:id="267"/>
      <w:bookmarkEnd w:id="268"/>
      <w:bookmarkEnd w:id="269"/>
      <w:bookmarkEnd w:id="270"/>
      <w:bookmarkEnd w:id="271"/>
      <w:bookmarkEnd w:id="272"/>
      <w:bookmarkEnd w:id="273"/>
      <w:bookmarkEnd w:id="274"/>
    </w:p>
    <w:p>
      <w:pPr>
        <w:spacing w:line="50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（1）危险化学品情况</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本项目加油站主要经营：车用燃油（汽油、柴油），罐区设置</w:t>
      </w:r>
      <w:r>
        <w:rPr>
          <w:rFonts w:hint="eastAsia" w:ascii="Times New Roman" w:hAnsi="Times New Roman" w:cs="Times New Roman"/>
          <w:color w:val="000000" w:themeColor="text1"/>
          <w:sz w:val="24"/>
          <w:szCs w:val="24"/>
          <w:lang w:val="en-US" w:eastAsia="zh-CN"/>
        </w:rPr>
        <w:t>5</w:t>
      </w:r>
      <w:r>
        <w:rPr>
          <w:rFonts w:ascii="Times New Roman" w:hAnsi="Times New Roman" w:cs="Times New Roman"/>
          <w:color w:val="000000" w:themeColor="text1"/>
          <w:sz w:val="24"/>
          <w:szCs w:val="24"/>
        </w:rPr>
        <w:t>个储罐30m</w:t>
      </w:r>
      <w:r>
        <w:rPr>
          <w:rFonts w:ascii="Times New Roman" w:hAnsi="Times New Roman" w:cs="Times New Roman"/>
          <w:color w:val="000000" w:themeColor="text1"/>
          <w:sz w:val="24"/>
          <w:szCs w:val="24"/>
          <w:vertAlign w:val="superscript"/>
        </w:rPr>
        <w:t>3</w:t>
      </w:r>
      <w:r>
        <w:rPr>
          <w:rFonts w:ascii="Times New Roman" w:hAnsi="Times New Roman" w:cs="Times New Roman"/>
          <w:color w:val="000000" w:themeColor="text1"/>
          <w:sz w:val="24"/>
          <w:szCs w:val="24"/>
        </w:rPr>
        <w:t>的汽油、柴油储罐，总储油量为</w:t>
      </w:r>
      <w:r>
        <w:rPr>
          <w:rFonts w:hint="eastAsia" w:ascii="Times New Roman" w:hAnsi="Times New Roman" w:cs="Times New Roman"/>
          <w:color w:val="000000" w:themeColor="text1"/>
          <w:sz w:val="24"/>
          <w:szCs w:val="24"/>
          <w:lang w:val="en-US" w:eastAsia="zh-CN"/>
        </w:rPr>
        <w:t>120</w:t>
      </w:r>
      <w:r>
        <w:rPr>
          <w:rFonts w:ascii="Times New Roman" w:hAnsi="Times New Roman" w:cs="Times New Roman"/>
          <w:color w:val="000000" w:themeColor="text1"/>
          <w:sz w:val="24"/>
          <w:szCs w:val="24"/>
        </w:rPr>
        <w:t>m</w:t>
      </w:r>
      <w:r>
        <w:rPr>
          <w:rFonts w:ascii="Times New Roman" w:hAnsi="Times New Roman" w:cs="Times New Roman"/>
          <w:color w:val="000000" w:themeColor="text1"/>
          <w:sz w:val="24"/>
          <w:szCs w:val="24"/>
          <w:vertAlign w:val="superscript"/>
        </w:rPr>
        <w:t>3</w:t>
      </w:r>
      <w:r>
        <w:rPr>
          <w:rFonts w:ascii="Times New Roman" w:hAnsi="Times New Roman" w:cs="Times New Roman"/>
          <w:color w:val="000000" w:themeColor="text1"/>
          <w:sz w:val="24"/>
          <w:szCs w:val="24"/>
        </w:rPr>
        <w:t>。</w:t>
      </w:r>
      <w:r>
        <w:rPr>
          <w:rFonts w:hint="eastAsia" w:ascii="Times New Roman" w:hAnsi="Times New Roman" w:cs="Times New Roman"/>
          <w:color w:val="000000" w:themeColor="text1"/>
          <w:sz w:val="24"/>
          <w:szCs w:val="24"/>
          <w:lang w:val="en-US" w:eastAsia="zh-CN"/>
        </w:rPr>
        <w:t>6</w:t>
      </w:r>
      <w:r>
        <w:rPr>
          <w:rFonts w:ascii="Times New Roman" w:hAnsi="Times New Roman" w:cs="Times New Roman"/>
          <w:color w:val="000000" w:themeColor="text1"/>
          <w:sz w:val="24"/>
          <w:szCs w:val="24"/>
        </w:rPr>
        <w:t>台双枪加油</w:t>
      </w:r>
      <w:r>
        <w:rPr>
          <w:color w:val="000000"/>
          <w:sz w:val="24"/>
        </w:rPr>
        <w:t>机</w:t>
      </w:r>
      <w:r>
        <w:rPr>
          <w:rFonts w:ascii="Times New Roman" w:hAnsi="Times New Roman" w:cs="Times New Roman"/>
          <w:color w:val="000000" w:themeColor="text1"/>
          <w:sz w:val="24"/>
          <w:szCs w:val="24"/>
        </w:rPr>
        <w:t>，均采用潜油泵供油。</w:t>
      </w:r>
    </w:p>
    <w:p>
      <w:pPr>
        <w:spacing w:line="50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（2）危险源识别</w:t>
      </w:r>
    </w:p>
    <w:p>
      <w:pPr>
        <w:spacing w:line="50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fldChar w:fldCharType="begin"/>
      </w:r>
      <w:r>
        <w:rPr>
          <w:rFonts w:ascii="Times New Roman" w:hAnsi="Times New Roman" w:cs="Times New Roman"/>
          <w:b/>
          <w:bCs/>
          <w:color w:val="000000" w:themeColor="text1"/>
          <w:sz w:val="24"/>
          <w:szCs w:val="24"/>
        </w:rPr>
        <w:instrText xml:space="preserve"> = 1 \* GB3 </w:instrText>
      </w:r>
      <w:r>
        <w:rPr>
          <w:rFonts w:ascii="Times New Roman" w:hAnsi="Times New Roman" w:cs="Times New Roman"/>
          <w:b/>
          <w:bCs/>
          <w:color w:val="000000" w:themeColor="text1"/>
          <w:sz w:val="24"/>
          <w:szCs w:val="24"/>
        </w:rPr>
        <w:fldChar w:fldCharType="separate"/>
      </w:r>
      <w:r>
        <w:rPr>
          <w:rFonts w:hint="eastAsia" w:ascii="宋体" w:hAnsi="宋体" w:eastAsia="宋体" w:cs="宋体"/>
          <w:b/>
          <w:bCs/>
          <w:color w:val="000000" w:themeColor="text1"/>
          <w:sz w:val="24"/>
          <w:szCs w:val="24"/>
        </w:rPr>
        <w:t>①</w:t>
      </w:r>
      <w:r>
        <w:rPr>
          <w:rFonts w:ascii="Times New Roman" w:hAnsi="Times New Roman" w:cs="Times New Roman"/>
          <w:b/>
          <w:bCs/>
          <w:color w:val="000000" w:themeColor="text1"/>
          <w:sz w:val="24"/>
          <w:szCs w:val="24"/>
        </w:rPr>
        <w:fldChar w:fldCharType="end"/>
      </w:r>
      <w:r>
        <w:rPr>
          <w:rFonts w:ascii="Times New Roman" w:hAnsi="Times New Roman" w:cs="Times New Roman"/>
          <w:b/>
          <w:bCs/>
          <w:color w:val="000000" w:themeColor="text1"/>
          <w:sz w:val="24"/>
          <w:szCs w:val="24"/>
        </w:rPr>
        <w:t>物质危险性识别</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本项目生产过程中的主要物料、中间产品、最终产品等按物质危险性、毒理指标和毒性等级分析，并考虑其燃烧爆炸性，建设项目主要的危险物质识别见表3-1。</w:t>
      </w:r>
    </w:p>
    <w:p>
      <w:pPr>
        <w:spacing w:line="500" w:lineRule="exact"/>
        <w:ind w:firstLine="422" w:firstLineChars="200"/>
        <w:jc w:val="cente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表3-1   物质危险性标准</w:t>
      </w:r>
    </w:p>
    <w:tbl>
      <w:tblPr>
        <w:tblStyle w:val="14"/>
        <w:tblW w:w="8522"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827"/>
        <w:gridCol w:w="845"/>
        <w:gridCol w:w="2241"/>
        <w:gridCol w:w="2185"/>
        <w:gridCol w:w="2424"/>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42" w:hRule="atLeast"/>
          <w:jc w:val="center"/>
        </w:trPr>
        <w:tc>
          <w:tcPr>
            <w:tcW w:w="827" w:type="dxa"/>
            <w:vAlign w:val="center"/>
          </w:tcPr>
          <w:p>
            <w:pPr>
              <w:jc w:val="cente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物质</w:t>
            </w:r>
          </w:p>
          <w:p>
            <w:pPr>
              <w:jc w:val="cente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类别</w:t>
            </w:r>
          </w:p>
        </w:tc>
        <w:tc>
          <w:tcPr>
            <w:tcW w:w="845" w:type="dxa"/>
            <w:vAlign w:val="center"/>
          </w:tcPr>
          <w:p>
            <w:pPr>
              <w:jc w:val="cente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等级</w:t>
            </w:r>
          </w:p>
        </w:tc>
        <w:tc>
          <w:tcPr>
            <w:tcW w:w="2241" w:type="dxa"/>
            <w:vAlign w:val="center"/>
          </w:tcPr>
          <w:p>
            <w:pPr>
              <w:jc w:val="cente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LD</w:t>
            </w:r>
            <w:r>
              <w:rPr>
                <w:rFonts w:ascii="Times New Roman" w:hAnsi="Times New Roman" w:cs="Times New Roman"/>
                <w:b/>
                <w:bCs/>
                <w:color w:val="000000" w:themeColor="text1"/>
                <w:szCs w:val="21"/>
                <w:vertAlign w:val="subscript"/>
              </w:rPr>
              <w:t>50</w:t>
            </w:r>
            <w:r>
              <w:rPr>
                <w:rFonts w:ascii="Times New Roman" w:hAnsi="Times New Roman" w:cs="Times New Roman"/>
                <w:b/>
                <w:bCs/>
                <w:color w:val="000000" w:themeColor="text1"/>
                <w:szCs w:val="21"/>
              </w:rPr>
              <w:t xml:space="preserve"> (大鼠经口) mg/kg</w:t>
            </w:r>
          </w:p>
        </w:tc>
        <w:tc>
          <w:tcPr>
            <w:tcW w:w="2185" w:type="dxa"/>
            <w:vAlign w:val="center"/>
          </w:tcPr>
          <w:p>
            <w:pPr>
              <w:jc w:val="cente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LD</w:t>
            </w:r>
            <w:r>
              <w:rPr>
                <w:rFonts w:ascii="Times New Roman" w:hAnsi="Times New Roman" w:cs="Times New Roman"/>
                <w:b/>
                <w:bCs/>
                <w:color w:val="000000" w:themeColor="text1"/>
                <w:szCs w:val="21"/>
                <w:vertAlign w:val="subscript"/>
              </w:rPr>
              <w:t>50</w:t>
            </w:r>
            <w:r>
              <w:rPr>
                <w:rFonts w:ascii="Times New Roman" w:hAnsi="Times New Roman" w:cs="Times New Roman"/>
                <w:b/>
                <w:bCs/>
                <w:color w:val="000000" w:themeColor="text1"/>
                <w:szCs w:val="21"/>
              </w:rPr>
              <w:t xml:space="preserve"> (大鼠经皮)mg/kg</w:t>
            </w:r>
          </w:p>
        </w:tc>
        <w:tc>
          <w:tcPr>
            <w:tcW w:w="2424" w:type="dxa"/>
            <w:vAlign w:val="center"/>
          </w:tcPr>
          <w:p>
            <w:pPr>
              <w:jc w:val="cente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LC</w:t>
            </w:r>
            <w:r>
              <w:rPr>
                <w:rFonts w:ascii="Times New Roman" w:hAnsi="Times New Roman" w:cs="Times New Roman"/>
                <w:b/>
                <w:bCs/>
                <w:color w:val="000000" w:themeColor="text1"/>
                <w:szCs w:val="21"/>
                <w:vertAlign w:val="subscript"/>
              </w:rPr>
              <w:t>50</w:t>
            </w:r>
            <w:r>
              <w:rPr>
                <w:rFonts w:ascii="Times New Roman" w:hAnsi="Times New Roman" w:cs="Times New Roman"/>
                <w:b/>
                <w:bCs/>
                <w:color w:val="000000" w:themeColor="text1"/>
                <w:szCs w:val="21"/>
              </w:rPr>
              <w:t>（小鼠吸入，4小时）mg/L</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827" w:type="dxa"/>
            <w:vMerge w:val="restart"/>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有</w:t>
            </w:r>
          </w:p>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毒</w:t>
            </w:r>
          </w:p>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物</w:t>
            </w:r>
          </w:p>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质</w:t>
            </w:r>
          </w:p>
        </w:tc>
        <w:tc>
          <w:tcPr>
            <w:tcW w:w="845"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1</w:t>
            </w:r>
          </w:p>
        </w:tc>
        <w:tc>
          <w:tcPr>
            <w:tcW w:w="2241"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&lt;5</w:t>
            </w:r>
          </w:p>
        </w:tc>
        <w:tc>
          <w:tcPr>
            <w:tcW w:w="2185"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&lt;1</w:t>
            </w:r>
          </w:p>
        </w:tc>
        <w:tc>
          <w:tcPr>
            <w:tcW w:w="2424"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&lt;0.01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27" w:type="dxa"/>
            <w:vMerge w:val="continue"/>
            <w:vAlign w:val="center"/>
          </w:tcPr>
          <w:p>
            <w:pPr>
              <w:jc w:val="center"/>
              <w:rPr>
                <w:rFonts w:ascii="Times New Roman" w:hAnsi="Times New Roman" w:cs="Times New Roman"/>
                <w:color w:val="000000" w:themeColor="text1"/>
                <w:szCs w:val="21"/>
              </w:rPr>
            </w:pPr>
          </w:p>
        </w:tc>
        <w:tc>
          <w:tcPr>
            <w:tcW w:w="845"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2</w:t>
            </w:r>
          </w:p>
        </w:tc>
        <w:tc>
          <w:tcPr>
            <w:tcW w:w="2241"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5&lt;LD</w:t>
            </w:r>
            <w:r>
              <w:rPr>
                <w:rFonts w:ascii="Times New Roman" w:hAnsi="Times New Roman" w:cs="Times New Roman"/>
                <w:color w:val="000000" w:themeColor="text1"/>
                <w:szCs w:val="21"/>
                <w:vertAlign w:val="subscript"/>
              </w:rPr>
              <w:t>50</w:t>
            </w:r>
            <w:r>
              <w:rPr>
                <w:rFonts w:ascii="Times New Roman" w:hAnsi="Times New Roman" w:cs="Times New Roman"/>
                <w:color w:val="000000" w:themeColor="text1"/>
                <w:szCs w:val="21"/>
              </w:rPr>
              <w:t>&lt;25</w:t>
            </w:r>
          </w:p>
        </w:tc>
        <w:tc>
          <w:tcPr>
            <w:tcW w:w="2185"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10&lt;LD</w:t>
            </w:r>
            <w:r>
              <w:rPr>
                <w:rFonts w:ascii="Times New Roman" w:hAnsi="Times New Roman" w:cs="Times New Roman"/>
                <w:color w:val="000000" w:themeColor="text1"/>
                <w:szCs w:val="21"/>
                <w:vertAlign w:val="subscript"/>
              </w:rPr>
              <w:t>50</w:t>
            </w:r>
            <w:r>
              <w:rPr>
                <w:rFonts w:ascii="Times New Roman" w:hAnsi="Times New Roman" w:cs="Times New Roman"/>
                <w:color w:val="000000" w:themeColor="text1"/>
                <w:szCs w:val="21"/>
              </w:rPr>
              <w:t>&lt;50</w:t>
            </w:r>
          </w:p>
        </w:tc>
        <w:tc>
          <w:tcPr>
            <w:tcW w:w="2424"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0．1&lt;LC</w:t>
            </w:r>
            <w:r>
              <w:rPr>
                <w:rFonts w:ascii="Times New Roman" w:hAnsi="Times New Roman" w:cs="Times New Roman"/>
                <w:color w:val="000000" w:themeColor="text1"/>
                <w:szCs w:val="21"/>
                <w:vertAlign w:val="subscript"/>
              </w:rPr>
              <w:t>50</w:t>
            </w:r>
            <w:r>
              <w:rPr>
                <w:rFonts w:ascii="Times New Roman" w:hAnsi="Times New Roman" w:cs="Times New Roman"/>
                <w:color w:val="000000" w:themeColor="text1"/>
                <w:szCs w:val="21"/>
              </w:rPr>
              <w:t>&lt;0.5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270" w:hRule="atLeast"/>
          <w:jc w:val="center"/>
        </w:trPr>
        <w:tc>
          <w:tcPr>
            <w:tcW w:w="827" w:type="dxa"/>
            <w:vMerge w:val="continue"/>
            <w:vAlign w:val="center"/>
          </w:tcPr>
          <w:p>
            <w:pPr>
              <w:jc w:val="center"/>
              <w:rPr>
                <w:rFonts w:ascii="Times New Roman" w:hAnsi="Times New Roman" w:cs="Times New Roman"/>
                <w:color w:val="000000" w:themeColor="text1"/>
                <w:szCs w:val="21"/>
              </w:rPr>
            </w:pPr>
          </w:p>
        </w:tc>
        <w:tc>
          <w:tcPr>
            <w:tcW w:w="845"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3</w:t>
            </w:r>
          </w:p>
        </w:tc>
        <w:tc>
          <w:tcPr>
            <w:tcW w:w="2241"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25&lt;LD</w:t>
            </w:r>
            <w:r>
              <w:rPr>
                <w:rFonts w:ascii="Times New Roman" w:hAnsi="Times New Roman" w:cs="Times New Roman"/>
                <w:color w:val="000000" w:themeColor="text1"/>
                <w:szCs w:val="21"/>
                <w:vertAlign w:val="subscript"/>
              </w:rPr>
              <w:t>50</w:t>
            </w:r>
            <w:r>
              <w:rPr>
                <w:rFonts w:ascii="Times New Roman" w:hAnsi="Times New Roman" w:cs="Times New Roman"/>
                <w:color w:val="000000" w:themeColor="text1"/>
                <w:szCs w:val="21"/>
              </w:rPr>
              <w:t>&lt;200</w:t>
            </w:r>
          </w:p>
        </w:tc>
        <w:tc>
          <w:tcPr>
            <w:tcW w:w="2185"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50&lt;LD</w:t>
            </w:r>
            <w:r>
              <w:rPr>
                <w:rFonts w:ascii="Times New Roman" w:hAnsi="Times New Roman" w:cs="Times New Roman"/>
                <w:color w:val="000000" w:themeColor="text1"/>
                <w:szCs w:val="21"/>
                <w:vertAlign w:val="subscript"/>
              </w:rPr>
              <w:t>50</w:t>
            </w:r>
            <w:r>
              <w:rPr>
                <w:rFonts w:ascii="Times New Roman" w:hAnsi="Times New Roman" w:cs="Times New Roman"/>
                <w:color w:val="000000" w:themeColor="text1"/>
                <w:szCs w:val="21"/>
              </w:rPr>
              <w:t>&lt;400</w:t>
            </w:r>
          </w:p>
        </w:tc>
        <w:tc>
          <w:tcPr>
            <w:tcW w:w="2424"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0．5&lt;LC</w:t>
            </w:r>
            <w:r>
              <w:rPr>
                <w:rFonts w:ascii="Times New Roman" w:hAnsi="Times New Roman" w:cs="Times New Roman"/>
                <w:color w:val="000000" w:themeColor="text1"/>
                <w:szCs w:val="21"/>
                <w:vertAlign w:val="subscript"/>
              </w:rPr>
              <w:t>50</w:t>
            </w:r>
            <w:r>
              <w:rPr>
                <w:rFonts w:ascii="Times New Roman" w:hAnsi="Times New Roman" w:cs="Times New Roman"/>
                <w:color w:val="000000" w:themeColor="text1"/>
                <w:szCs w:val="21"/>
              </w:rPr>
              <w:t>&lt;2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600" w:hRule="atLeast"/>
          <w:jc w:val="center"/>
        </w:trPr>
        <w:tc>
          <w:tcPr>
            <w:tcW w:w="827" w:type="dxa"/>
            <w:vMerge w:val="restart"/>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易</w:t>
            </w:r>
          </w:p>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燃</w:t>
            </w:r>
          </w:p>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物</w:t>
            </w:r>
          </w:p>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质</w:t>
            </w:r>
          </w:p>
        </w:tc>
        <w:tc>
          <w:tcPr>
            <w:tcW w:w="845"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1</w:t>
            </w:r>
          </w:p>
        </w:tc>
        <w:tc>
          <w:tcPr>
            <w:tcW w:w="6850" w:type="dxa"/>
            <w:gridSpan w:val="3"/>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可燃气体，在常压下以气态存在并与空气混合形成可燃混合物；其沸点（常压下）是20</w:t>
            </w:r>
            <w:r>
              <w:rPr>
                <w:rFonts w:hint="eastAsia" w:ascii="宋体" w:hAnsi="宋体" w:eastAsia="宋体" w:cs="宋体"/>
                <w:color w:val="000000" w:themeColor="text1"/>
                <w:szCs w:val="21"/>
              </w:rPr>
              <w:t>℃</w:t>
            </w:r>
            <w:r>
              <w:rPr>
                <w:rFonts w:ascii="Times New Roman" w:hAnsi="Times New Roman" w:cs="Times New Roman"/>
                <w:color w:val="000000" w:themeColor="text1"/>
                <w:szCs w:val="21"/>
              </w:rPr>
              <w:t>或20</w:t>
            </w:r>
            <w:r>
              <w:rPr>
                <w:rFonts w:hint="eastAsia" w:ascii="宋体" w:hAnsi="宋体" w:eastAsia="宋体" w:cs="宋体"/>
                <w:color w:val="000000" w:themeColor="text1"/>
                <w:szCs w:val="21"/>
              </w:rPr>
              <w:t>℃</w:t>
            </w:r>
            <w:r>
              <w:rPr>
                <w:rFonts w:ascii="Times New Roman" w:hAnsi="Times New Roman" w:cs="Times New Roman"/>
                <w:color w:val="000000" w:themeColor="text1"/>
                <w:szCs w:val="21"/>
              </w:rPr>
              <w:t>以下的物质</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615" w:hRule="atLeast"/>
          <w:jc w:val="center"/>
        </w:trPr>
        <w:tc>
          <w:tcPr>
            <w:tcW w:w="827" w:type="dxa"/>
            <w:vMerge w:val="continue"/>
            <w:vAlign w:val="center"/>
          </w:tcPr>
          <w:p>
            <w:pPr>
              <w:jc w:val="center"/>
              <w:rPr>
                <w:rFonts w:ascii="Times New Roman" w:hAnsi="Times New Roman" w:cs="Times New Roman"/>
                <w:color w:val="000000" w:themeColor="text1"/>
                <w:szCs w:val="21"/>
              </w:rPr>
            </w:pPr>
          </w:p>
        </w:tc>
        <w:tc>
          <w:tcPr>
            <w:tcW w:w="845"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2</w:t>
            </w:r>
          </w:p>
        </w:tc>
        <w:tc>
          <w:tcPr>
            <w:tcW w:w="6850" w:type="dxa"/>
            <w:gridSpan w:val="3"/>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易燃液体，闪点低于21</w:t>
            </w:r>
            <w:r>
              <w:rPr>
                <w:rFonts w:hint="eastAsia" w:ascii="宋体" w:hAnsi="宋体" w:eastAsia="宋体" w:cs="宋体"/>
                <w:color w:val="000000" w:themeColor="text1"/>
                <w:szCs w:val="21"/>
              </w:rPr>
              <w:t>℃</w:t>
            </w:r>
            <w:r>
              <w:rPr>
                <w:rFonts w:ascii="Times New Roman" w:hAnsi="Times New Roman" w:cs="Times New Roman"/>
                <w:color w:val="000000" w:themeColor="text1"/>
                <w:szCs w:val="21"/>
              </w:rPr>
              <w:t>，沸点高于20</w:t>
            </w:r>
            <w:r>
              <w:rPr>
                <w:rFonts w:hint="eastAsia" w:ascii="宋体" w:hAnsi="宋体" w:eastAsia="宋体" w:cs="宋体"/>
                <w:color w:val="000000" w:themeColor="text1"/>
                <w:szCs w:val="21"/>
              </w:rPr>
              <w:t>℃</w:t>
            </w:r>
            <w:r>
              <w:rPr>
                <w:rFonts w:ascii="Times New Roman" w:hAnsi="Times New Roman" w:cs="Times New Roman"/>
                <w:color w:val="000000" w:themeColor="text1"/>
                <w:szCs w:val="21"/>
              </w:rPr>
              <w:t>的物质</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827" w:type="dxa"/>
            <w:vMerge w:val="continue"/>
            <w:vAlign w:val="center"/>
          </w:tcPr>
          <w:p>
            <w:pPr>
              <w:jc w:val="center"/>
              <w:rPr>
                <w:rFonts w:ascii="Times New Roman" w:hAnsi="Times New Roman" w:cs="Times New Roman"/>
                <w:color w:val="000000" w:themeColor="text1"/>
                <w:szCs w:val="21"/>
              </w:rPr>
            </w:pPr>
          </w:p>
        </w:tc>
        <w:tc>
          <w:tcPr>
            <w:tcW w:w="845"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3</w:t>
            </w:r>
          </w:p>
        </w:tc>
        <w:tc>
          <w:tcPr>
            <w:tcW w:w="6850" w:type="dxa"/>
            <w:gridSpan w:val="3"/>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可燃液体，闪点低于55</w:t>
            </w:r>
            <w:r>
              <w:rPr>
                <w:rFonts w:hint="eastAsia" w:ascii="宋体" w:hAnsi="宋体" w:eastAsia="宋体" w:cs="宋体"/>
                <w:color w:val="000000" w:themeColor="text1"/>
                <w:szCs w:val="21"/>
              </w:rPr>
              <w:t>℃</w:t>
            </w:r>
            <w:r>
              <w:rPr>
                <w:rFonts w:ascii="Times New Roman" w:hAnsi="Times New Roman" w:cs="Times New Roman"/>
                <w:color w:val="000000" w:themeColor="text1"/>
                <w:szCs w:val="21"/>
              </w:rPr>
              <w:t>，一定压力下保持液态，在实际操作条件下（如高温高压）可以引起重大事故的物质</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74" w:hRule="atLeast"/>
          <w:jc w:val="center"/>
        </w:trPr>
        <w:tc>
          <w:tcPr>
            <w:tcW w:w="1672" w:type="dxa"/>
            <w:gridSpan w:val="2"/>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爆炸性物质</w:t>
            </w:r>
          </w:p>
        </w:tc>
        <w:tc>
          <w:tcPr>
            <w:tcW w:w="6850" w:type="dxa"/>
            <w:gridSpan w:val="3"/>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在火焰影响下可以爆炸，或者对冲击、摩擦比硝基苯更为敏感的物质</w:t>
            </w:r>
          </w:p>
        </w:tc>
      </w:tr>
    </w:tbl>
    <w:p>
      <w:pPr>
        <w:ind w:firstLine="422" w:firstLineChars="200"/>
        <w:rPr>
          <w:rFonts w:ascii="Times New Roman" w:hAnsi="Times New Roman" w:cs="Times New Roman"/>
          <w:b/>
          <w:color w:val="000000" w:themeColor="text1"/>
          <w:szCs w:val="21"/>
        </w:rPr>
      </w:pPr>
      <w:r>
        <w:rPr>
          <w:rFonts w:ascii="Times New Roman" w:hAnsi="Times New Roman" w:cs="Times New Roman"/>
          <w:b/>
          <w:color w:val="000000" w:themeColor="text1"/>
          <w:szCs w:val="21"/>
        </w:rPr>
        <w:t>注：（1）有毒物质判定标准序号为1、2的物质，属于剧毒物质；符合有毒物质判定标准序号3的属于一般毒物。</w:t>
      </w:r>
    </w:p>
    <w:p>
      <w:pPr>
        <w:ind w:firstLine="422" w:firstLineChars="200"/>
        <w:rPr>
          <w:rFonts w:ascii="Times New Roman" w:hAnsi="Times New Roman" w:cs="Times New Roman"/>
          <w:b/>
          <w:color w:val="000000" w:themeColor="text1"/>
          <w:szCs w:val="21"/>
        </w:rPr>
      </w:pPr>
      <w:r>
        <w:rPr>
          <w:rFonts w:ascii="Times New Roman" w:hAnsi="Times New Roman" w:cs="Times New Roman"/>
          <w:b/>
          <w:color w:val="000000" w:themeColor="text1"/>
          <w:szCs w:val="21"/>
        </w:rPr>
        <w:t xml:space="preserve">    （2）凡符合表中易燃物质和爆炸性物质标准的物质，均视为火灾、爆炸危险物质。</w:t>
      </w:r>
    </w:p>
    <w:p>
      <w:pPr>
        <w:spacing w:line="500" w:lineRule="exact"/>
        <w:ind w:firstLine="422" w:firstLineChars="200"/>
        <w:jc w:val="cente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表3-2  汽油的理化性质和危险特性</w:t>
      </w:r>
    </w:p>
    <w:tbl>
      <w:tblPr>
        <w:tblStyle w:val="14"/>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91"/>
        <w:gridCol w:w="1148"/>
        <w:gridCol w:w="1194"/>
        <w:gridCol w:w="1192"/>
        <w:gridCol w:w="906"/>
        <w:gridCol w:w="882"/>
        <w:gridCol w:w="1261"/>
        <w:gridCol w:w="15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中文名称</w:t>
            </w:r>
          </w:p>
        </w:tc>
        <w:tc>
          <w:tcPr>
            <w:tcW w:w="3534"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汽油</w:t>
            </w:r>
          </w:p>
        </w:tc>
        <w:tc>
          <w:tcPr>
            <w:tcW w:w="906"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英文</w:t>
            </w:r>
          </w:p>
          <w:p>
            <w:pPr>
              <w:contextualSpacing/>
              <w:jc w:val="center"/>
              <w:rPr>
                <w:rFonts w:ascii="Times New Roman" w:hAnsi="Times New Roman" w:eastAsia="宋体" w:cs="Times New Roman"/>
                <w:szCs w:val="21"/>
              </w:rPr>
            </w:pPr>
            <w:r>
              <w:rPr>
                <w:rFonts w:ascii="Times New Roman" w:hAnsi="Times New Roman" w:eastAsia="宋体" w:cs="Times New Roman"/>
                <w:szCs w:val="21"/>
              </w:rPr>
              <w:t>名称</w:t>
            </w:r>
          </w:p>
        </w:tc>
        <w:tc>
          <w:tcPr>
            <w:tcW w:w="3655"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gasoline；petrol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外观与</w:t>
            </w:r>
          </w:p>
          <w:p>
            <w:pPr>
              <w:contextualSpacing/>
              <w:jc w:val="center"/>
              <w:rPr>
                <w:rFonts w:ascii="Times New Roman" w:hAnsi="Times New Roman" w:eastAsia="宋体" w:cs="Times New Roman"/>
                <w:szCs w:val="21"/>
              </w:rPr>
            </w:pPr>
            <w:r>
              <w:rPr>
                <w:rFonts w:ascii="Times New Roman" w:hAnsi="Times New Roman" w:eastAsia="宋体" w:cs="Times New Roman"/>
                <w:szCs w:val="21"/>
              </w:rPr>
              <w:t>气味</w:t>
            </w:r>
          </w:p>
        </w:tc>
        <w:tc>
          <w:tcPr>
            <w:tcW w:w="3534"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无色或淡黄色易挥发液体，有特殊臭味</w:t>
            </w:r>
          </w:p>
        </w:tc>
        <w:tc>
          <w:tcPr>
            <w:tcW w:w="906" w:type="dxa"/>
            <w:vAlign w:val="center"/>
          </w:tcPr>
          <w:p>
            <w:pPr>
              <w:contextualSpacing/>
              <w:jc w:val="center"/>
              <w:rPr>
                <w:rFonts w:ascii="Times New Roman" w:hAnsi="Times New Roman" w:eastAsia="宋体" w:cs="Times New Roman"/>
                <w:spacing w:val="-14"/>
                <w:szCs w:val="21"/>
              </w:rPr>
            </w:pPr>
            <w:r>
              <w:rPr>
                <w:rFonts w:ascii="Times New Roman" w:hAnsi="Times New Roman" w:eastAsia="宋体" w:cs="Times New Roman"/>
                <w:spacing w:val="-14"/>
                <w:szCs w:val="21"/>
              </w:rPr>
              <w:t>侵入</w:t>
            </w:r>
          </w:p>
          <w:p>
            <w:pPr>
              <w:contextualSpacing/>
              <w:jc w:val="center"/>
              <w:rPr>
                <w:rFonts w:ascii="Times New Roman" w:hAnsi="Times New Roman" w:eastAsia="宋体" w:cs="Times New Roman"/>
                <w:spacing w:val="-14"/>
                <w:szCs w:val="21"/>
              </w:rPr>
            </w:pPr>
            <w:r>
              <w:rPr>
                <w:rFonts w:ascii="Times New Roman" w:hAnsi="Times New Roman" w:eastAsia="宋体" w:cs="Times New Roman"/>
                <w:spacing w:val="-14"/>
                <w:szCs w:val="21"/>
              </w:rPr>
              <w:t>途径</w:t>
            </w:r>
          </w:p>
        </w:tc>
        <w:tc>
          <w:tcPr>
            <w:tcW w:w="3655"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吸入、食入、经皮吸收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熔点(</w:t>
            </w:r>
            <w:r>
              <w:rPr>
                <w:rFonts w:hint="eastAsia" w:ascii="宋体" w:hAnsi="宋体" w:eastAsia="宋体" w:cs="宋体"/>
                <w:szCs w:val="21"/>
              </w:rPr>
              <w:t>℃</w:t>
            </w:r>
            <w:r>
              <w:rPr>
                <w:rFonts w:ascii="Times New Roman" w:hAnsi="Times New Roman" w:eastAsia="宋体" w:cs="Times New Roman"/>
                <w:szCs w:val="21"/>
              </w:rPr>
              <w:t>)</w:t>
            </w:r>
          </w:p>
        </w:tc>
        <w:tc>
          <w:tcPr>
            <w:tcW w:w="1148"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&lt;-60</w:t>
            </w:r>
          </w:p>
        </w:tc>
        <w:tc>
          <w:tcPr>
            <w:tcW w:w="1194"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沸点(</w:t>
            </w:r>
            <w:r>
              <w:rPr>
                <w:rFonts w:hint="eastAsia" w:ascii="宋体" w:hAnsi="宋体" w:eastAsia="宋体" w:cs="宋体"/>
                <w:szCs w:val="21"/>
              </w:rPr>
              <w:t>℃</w:t>
            </w:r>
            <w:r>
              <w:rPr>
                <w:rFonts w:ascii="Times New Roman" w:hAnsi="Times New Roman" w:eastAsia="宋体" w:cs="Times New Roman"/>
                <w:szCs w:val="21"/>
              </w:rPr>
              <w:t>)</w:t>
            </w:r>
          </w:p>
        </w:tc>
        <w:tc>
          <w:tcPr>
            <w:tcW w:w="1192"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bCs/>
                <w:kern w:val="0"/>
                <w:szCs w:val="21"/>
              </w:rPr>
              <w:t>40-200</w:t>
            </w:r>
          </w:p>
        </w:tc>
        <w:tc>
          <w:tcPr>
            <w:tcW w:w="906"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闪点(</w:t>
            </w:r>
            <w:r>
              <w:rPr>
                <w:rFonts w:hint="eastAsia" w:ascii="宋体" w:hAnsi="宋体" w:eastAsia="宋体" w:cs="宋体"/>
                <w:szCs w:val="21"/>
              </w:rPr>
              <w:t>℃</w:t>
            </w:r>
            <w:r>
              <w:rPr>
                <w:rFonts w:ascii="Times New Roman" w:hAnsi="Times New Roman" w:eastAsia="宋体" w:cs="Times New Roman"/>
                <w:szCs w:val="21"/>
              </w:rPr>
              <w:t>)</w:t>
            </w:r>
          </w:p>
        </w:tc>
        <w:tc>
          <w:tcPr>
            <w:tcW w:w="882"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-50</w:t>
            </w:r>
          </w:p>
        </w:tc>
        <w:tc>
          <w:tcPr>
            <w:tcW w:w="126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引燃温度(</w:t>
            </w:r>
            <w:r>
              <w:rPr>
                <w:rFonts w:hint="eastAsia" w:ascii="宋体" w:hAnsi="宋体" w:eastAsia="宋体" w:cs="宋体"/>
                <w:szCs w:val="21"/>
              </w:rPr>
              <w:t>℃</w:t>
            </w:r>
            <w:r>
              <w:rPr>
                <w:rFonts w:ascii="Times New Roman" w:hAnsi="Times New Roman" w:eastAsia="宋体" w:cs="Times New Roman"/>
                <w:szCs w:val="21"/>
              </w:rPr>
              <w:t>)</w:t>
            </w:r>
          </w:p>
        </w:tc>
        <w:tc>
          <w:tcPr>
            <w:tcW w:w="1512"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415-530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Merge w:val="restart"/>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相对密度</w:t>
            </w:r>
          </w:p>
        </w:tc>
        <w:tc>
          <w:tcPr>
            <w:tcW w:w="1148"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水=1</w:t>
            </w:r>
          </w:p>
        </w:tc>
        <w:tc>
          <w:tcPr>
            <w:tcW w:w="2386"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0.70-0.79</w:t>
            </w:r>
          </w:p>
        </w:tc>
        <w:tc>
          <w:tcPr>
            <w:tcW w:w="1788" w:type="dxa"/>
            <w:gridSpan w:val="2"/>
            <w:vMerge w:val="restart"/>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燃烧热(kJ/kg)</w:t>
            </w:r>
          </w:p>
        </w:tc>
        <w:tc>
          <w:tcPr>
            <w:tcW w:w="2773" w:type="dxa"/>
            <w:gridSpan w:val="2"/>
            <w:vMerge w:val="restart"/>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4.6×10</w:t>
            </w:r>
            <w:r>
              <w:rPr>
                <w:rFonts w:ascii="Times New Roman" w:hAnsi="Times New Roman" w:eastAsia="宋体" w:cs="Times New Roman"/>
                <w:szCs w:val="21"/>
                <w:vertAlign w:val="superscript"/>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Merge w:val="continue"/>
            <w:vAlign w:val="center"/>
          </w:tcPr>
          <w:p>
            <w:pPr>
              <w:contextualSpacing/>
              <w:jc w:val="center"/>
              <w:rPr>
                <w:rFonts w:ascii="Times New Roman" w:hAnsi="Times New Roman" w:eastAsia="宋体" w:cs="Times New Roman"/>
                <w:szCs w:val="21"/>
              </w:rPr>
            </w:pPr>
          </w:p>
        </w:tc>
        <w:tc>
          <w:tcPr>
            <w:tcW w:w="1148"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空气=1</w:t>
            </w:r>
          </w:p>
        </w:tc>
        <w:tc>
          <w:tcPr>
            <w:tcW w:w="2386"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3.5</w:t>
            </w:r>
          </w:p>
        </w:tc>
        <w:tc>
          <w:tcPr>
            <w:tcW w:w="1788" w:type="dxa"/>
            <w:gridSpan w:val="2"/>
            <w:vMerge w:val="continue"/>
            <w:vAlign w:val="center"/>
          </w:tcPr>
          <w:p>
            <w:pPr>
              <w:contextualSpacing/>
              <w:jc w:val="center"/>
              <w:rPr>
                <w:rFonts w:ascii="Times New Roman" w:hAnsi="Times New Roman" w:eastAsia="宋体" w:cs="Times New Roman"/>
                <w:szCs w:val="21"/>
              </w:rPr>
            </w:pPr>
          </w:p>
        </w:tc>
        <w:tc>
          <w:tcPr>
            <w:tcW w:w="2773" w:type="dxa"/>
            <w:gridSpan w:val="2"/>
            <w:vMerge w:val="continue"/>
            <w:vAlign w:val="center"/>
          </w:tcPr>
          <w:p>
            <w:pPr>
              <w:contextualSpacing/>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pacing w:val="-4"/>
                <w:szCs w:val="21"/>
              </w:rPr>
              <w:t>爆炸极限(V%)</w:t>
            </w:r>
          </w:p>
        </w:tc>
        <w:tc>
          <w:tcPr>
            <w:tcW w:w="3534"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1.3-6.0</w:t>
            </w:r>
          </w:p>
        </w:tc>
        <w:tc>
          <w:tcPr>
            <w:tcW w:w="906"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灭火剂</w:t>
            </w:r>
          </w:p>
        </w:tc>
        <w:tc>
          <w:tcPr>
            <w:tcW w:w="3655"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泡沫、干粉、二氧化碳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工作场所空气中容许浓度(mg/m</w:t>
            </w:r>
            <w:r>
              <w:rPr>
                <w:rFonts w:ascii="Times New Roman" w:hAnsi="Times New Roman" w:eastAsia="宋体" w:cs="Times New Roman"/>
                <w:szCs w:val="21"/>
                <w:vertAlign w:val="superscript"/>
              </w:rPr>
              <w:t>3</w:t>
            </w:r>
            <w:r>
              <w:rPr>
                <w:rFonts w:ascii="Times New Roman" w:hAnsi="Times New Roman" w:eastAsia="宋体" w:cs="Times New Roman"/>
                <w:szCs w:val="21"/>
              </w:rPr>
              <w:t>)</w:t>
            </w:r>
          </w:p>
        </w:tc>
        <w:tc>
          <w:tcPr>
            <w:tcW w:w="2342"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时间加权平均容许浓度PC-TWA</w:t>
            </w:r>
          </w:p>
        </w:tc>
        <w:tc>
          <w:tcPr>
            <w:tcW w:w="1192"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300</w:t>
            </w:r>
          </w:p>
        </w:tc>
        <w:tc>
          <w:tcPr>
            <w:tcW w:w="1788"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w:t>
            </w:r>
          </w:p>
        </w:tc>
        <w:tc>
          <w:tcPr>
            <w:tcW w:w="2773"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主要用途</w:t>
            </w:r>
          </w:p>
        </w:tc>
        <w:tc>
          <w:tcPr>
            <w:tcW w:w="8095" w:type="dxa"/>
            <w:gridSpan w:val="7"/>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主要用作汽油机的燃料，用于橡胶、制鞋、印刷、制革、颜料等行业，也可用作机械零件的去污剂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物质危险性类别</w:t>
            </w:r>
          </w:p>
        </w:tc>
        <w:tc>
          <w:tcPr>
            <w:tcW w:w="3534"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第3.1类 低闪点易燃液体</w:t>
            </w:r>
          </w:p>
        </w:tc>
        <w:tc>
          <w:tcPr>
            <w:tcW w:w="1788"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燃烧性</w:t>
            </w:r>
          </w:p>
        </w:tc>
        <w:tc>
          <w:tcPr>
            <w:tcW w:w="2773"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极度易燃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禁忌物</w:t>
            </w:r>
          </w:p>
        </w:tc>
        <w:tc>
          <w:tcPr>
            <w:tcW w:w="2342"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强氧化剂</w:t>
            </w:r>
          </w:p>
        </w:tc>
        <w:tc>
          <w:tcPr>
            <w:tcW w:w="2098"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溶解性</w:t>
            </w:r>
          </w:p>
        </w:tc>
        <w:tc>
          <w:tcPr>
            <w:tcW w:w="3655"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不溶于水，易溶于苯、二硫化碳、醇、脂肪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燃烧(分解)产物</w:t>
            </w:r>
          </w:p>
        </w:tc>
        <w:tc>
          <w:tcPr>
            <w:tcW w:w="2342" w:type="dxa"/>
            <w:gridSpan w:val="2"/>
            <w:vAlign w:val="center"/>
          </w:tcPr>
          <w:p>
            <w:pPr>
              <w:contextualSpacing/>
              <w:jc w:val="center"/>
              <w:rPr>
                <w:rFonts w:ascii="Times New Roman" w:hAnsi="Times New Roman" w:eastAsia="宋体" w:cs="Times New Roman"/>
                <w:spacing w:val="-4"/>
                <w:szCs w:val="21"/>
              </w:rPr>
            </w:pPr>
            <w:r>
              <w:rPr>
                <w:rFonts w:ascii="Times New Roman" w:hAnsi="Times New Roman" w:eastAsia="宋体" w:cs="Times New Roman"/>
                <w:spacing w:val="-4"/>
                <w:szCs w:val="21"/>
              </w:rPr>
              <w:t>一氧化碳、二氧化碳</w:t>
            </w:r>
          </w:p>
        </w:tc>
        <w:tc>
          <w:tcPr>
            <w:tcW w:w="2098"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UN编号</w:t>
            </w:r>
          </w:p>
        </w:tc>
        <w:tc>
          <w:tcPr>
            <w:tcW w:w="882"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1203</w:t>
            </w:r>
          </w:p>
        </w:tc>
        <w:tc>
          <w:tcPr>
            <w:tcW w:w="126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CAS No.</w:t>
            </w:r>
          </w:p>
        </w:tc>
        <w:tc>
          <w:tcPr>
            <w:tcW w:w="1512"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8006-61-9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急性毒性</w:t>
            </w:r>
          </w:p>
        </w:tc>
        <w:tc>
          <w:tcPr>
            <w:tcW w:w="8095" w:type="dxa"/>
            <w:gridSpan w:val="7"/>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LD</w:t>
            </w:r>
            <w:r>
              <w:rPr>
                <w:rFonts w:ascii="Times New Roman" w:hAnsi="Times New Roman" w:eastAsia="宋体" w:cs="Times New Roman"/>
                <w:szCs w:val="21"/>
                <w:vertAlign w:val="subscript"/>
              </w:rPr>
              <w:t>50</w:t>
            </w:r>
            <w:r>
              <w:rPr>
                <w:rFonts w:ascii="Times New Roman" w:hAnsi="Times New Roman" w:eastAsia="宋体" w:cs="Times New Roman"/>
                <w:szCs w:val="21"/>
              </w:rPr>
              <w:t xml:space="preserve">  67000mg/kg(小鼠经口)；LC</w:t>
            </w:r>
            <w:r>
              <w:rPr>
                <w:rFonts w:ascii="Times New Roman" w:hAnsi="Times New Roman" w:eastAsia="宋体" w:cs="Times New Roman"/>
                <w:szCs w:val="21"/>
                <w:vertAlign w:val="subscript"/>
              </w:rPr>
              <w:t>50</w:t>
            </w:r>
            <w:r>
              <w:rPr>
                <w:rFonts w:ascii="Times New Roman" w:hAnsi="Times New Roman" w:eastAsia="宋体" w:cs="Times New Roman"/>
                <w:szCs w:val="21"/>
              </w:rPr>
              <w:t xml:space="preserve">  103000 mg/kg，2小时(小鼠吸入)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危险特性</w:t>
            </w:r>
          </w:p>
        </w:tc>
        <w:tc>
          <w:tcPr>
            <w:tcW w:w="8095" w:type="dxa"/>
            <w:gridSpan w:val="7"/>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其蒸汽与空气可形成爆炸性混合物。遇明火、高热极易燃烧爆炸。与氧化剂能发生强烈反应。其蒸汽比空气重，能在较低处扩散到相当远的地方，遇明火会引起回燃。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灭火方法</w:t>
            </w:r>
          </w:p>
        </w:tc>
        <w:tc>
          <w:tcPr>
            <w:tcW w:w="8095" w:type="dxa"/>
            <w:gridSpan w:val="7"/>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喷水冷却容器，可能的话将容器从火场移至空旷处。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健康危害</w:t>
            </w:r>
          </w:p>
        </w:tc>
        <w:tc>
          <w:tcPr>
            <w:tcW w:w="8095" w:type="dxa"/>
            <w:gridSpan w:val="7"/>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急性中毒：对中枢神经系统有麻醉作用。轻度中毒症状有头晕、头痛、恶心、呕吐、步态不稳、共济失调。高浓度吸入出现中毒性脑病。极高浓度吸入引起意识突然丧失、反射性呼吸停止。可伴有中毒性周围神经病及化学性肺炎。部分患者出现中毒性神经病。液体吸入呼吸道可引起吸入性肺炎。溅入眼内可致角膜溃疡、穿孔，甚至失明。皮肤接触致急性接触性皮炎，甚至灼伤。吞咽引起急性胃肠炎，重者出现类似急性吸入中毒症状，并可引起肝、肾损害。</w:t>
            </w:r>
          </w:p>
          <w:p>
            <w:pPr>
              <w:contextualSpacing/>
              <w:jc w:val="center"/>
              <w:rPr>
                <w:rFonts w:ascii="Times New Roman" w:hAnsi="Times New Roman" w:eastAsia="宋体" w:cs="Times New Roman"/>
                <w:szCs w:val="21"/>
              </w:rPr>
            </w:pPr>
            <w:r>
              <w:rPr>
                <w:rFonts w:ascii="Times New Roman" w:hAnsi="Times New Roman" w:eastAsia="宋体" w:cs="Times New Roman"/>
                <w:szCs w:val="21"/>
              </w:rPr>
              <w:t>慢性中毒：神经衰弱综合症、植物神经功能紊乱、周围神经病。严重中毒出现中毒性脑病，症状类似精神分裂症。皮肤损害。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急救措施</w:t>
            </w:r>
          </w:p>
        </w:tc>
        <w:tc>
          <w:tcPr>
            <w:tcW w:w="8095" w:type="dxa"/>
            <w:gridSpan w:val="7"/>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皮肤接触：立即脱去被污染的衣着，用肥皂水和清水彻底冲洗皮肤，就医。</w:t>
            </w:r>
          </w:p>
          <w:p>
            <w:pPr>
              <w:contextualSpacing/>
              <w:jc w:val="center"/>
              <w:rPr>
                <w:rFonts w:ascii="Times New Roman" w:hAnsi="Times New Roman" w:eastAsia="宋体" w:cs="Times New Roman"/>
                <w:szCs w:val="21"/>
              </w:rPr>
            </w:pPr>
            <w:r>
              <w:rPr>
                <w:rFonts w:ascii="Times New Roman" w:hAnsi="Times New Roman" w:eastAsia="宋体" w:cs="Times New Roman"/>
                <w:szCs w:val="21"/>
              </w:rPr>
              <w:t>眼睛接触：立即提起眼睑，用大量流动清水或生理盐水彻底冲洗至少15分钟，就医。</w:t>
            </w:r>
          </w:p>
          <w:p>
            <w:pPr>
              <w:contextualSpacing/>
              <w:jc w:val="center"/>
              <w:rPr>
                <w:rFonts w:ascii="Times New Roman" w:hAnsi="Times New Roman" w:eastAsia="宋体" w:cs="Times New Roman"/>
                <w:szCs w:val="21"/>
              </w:rPr>
            </w:pPr>
            <w:r>
              <w:rPr>
                <w:rFonts w:ascii="Times New Roman" w:hAnsi="Times New Roman" w:eastAsia="宋体" w:cs="Times New Roman"/>
                <w:szCs w:val="21"/>
              </w:rPr>
              <w:t>吸入：迅速脱离现场至空气新鲜处。保持呼吸道通畅，如呼吸困难，给输氧。如呼吸停止，立即进行人工呼吸，就医。</w:t>
            </w:r>
          </w:p>
          <w:p>
            <w:pPr>
              <w:contextualSpacing/>
              <w:jc w:val="center"/>
              <w:rPr>
                <w:rFonts w:ascii="Times New Roman" w:hAnsi="Times New Roman" w:eastAsia="宋体" w:cs="Times New Roman"/>
                <w:szCs w:val="21"/>
              </w:rPr>
            </w:pPr>
            <w:r>
              <w:rPr>
                <w:rFonts w:ascii="Times New Roman" w:hAnsi="Times New Roman" w:eastAsia="宋体" w:cs="Times New Roman"/>
                <w:szCs w:val="21"/>
              </w:rPr>
              <w:t>食入：给饮牛奶或用植物洗胃和灌肠，就医。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防护措施</w:t>
            </w:r>
          </w:p>
        </w:tc>
        <w:tc>
          <w:tcPr>
            <w:tcW w:w="8095" w:type="dxa"/>
            <w:gridSpan w:val="7"/>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呼吸系统防护：一般不需要特殊防护，高浓度接触时可佩戴自吸过滤式防毒面具(半面罩)。眼睛防护：一般不需要特殊防护，高浓度接触时可戴化学安全防护眼镜。身体防护：穿防静电工作服。手防护：戴防苯耐油手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泄漏紧急处理</w:t>
            </w:r>
          </w:p>
        </w:tc>
        <w:tc>
          <w:tcPr>
            <w:tcW w:w="8095" w:type="dxa"/>
            <w:gridSpan w:val="7"/>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迅速撤离泄漏污染区人员至安全区，并进行隔离，严格限制出入。切断火源。建议应急处理人员戴自给正压式呼吸器，穿消防防护服。尽可能切断泄漏源，防止进入下水道、排洪沟等限制性空间。小量泄漏：用砂土、蛭石或其他惰性材料吸收，或在保证安全情况下，就地焚烧。大量泄漏：构筑围堤或挖坑收容；用泡沫覆盖，降低蒸汽灾害。用防爆泵转移至槽车或专用收集器内，回收或运至废物处理场所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91"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储存注意事项</w:t>
            </w:r>
          </w:p>
        </w:tc>
        <w:tc>
          <w:tcPr>
            <w:tcW w:w="8095" w:type="dxa"/>
            <w:gridSpan w:val="7"/>
            <w:vAlign w:val="center"/>
          </w:tcPr>
          <w:p>
            <w:pPr>
              <w:contextualSpacing/>
              <w:jc w:val="center"/>
              <w:rPr>
                <w:rFonts w:ascii="Times New Roman" w:hAnsi="Times New Roman" w:eastAsia="宋体" w:cs="Times New Roman"/>
                <w:szCs w:val="21"/>
              </w:rPr>
            </w:pPr>
            <w:r>
              <w:rPr>
                <w:rFonts w:ascii="Times New Roman" w:hAnsi="Times New Roman" w:eastAsia="宋体" w:cs="Times New Roman"/>
                <w:bCs/>
                <w:kern w:val="0"/>
                <w:szCs w:val="21"/>
              </w:rPr>
              <w:t>储存于阴凉、通风仓库内。仓内温度不宜超过30</w:t>
            </w:r>
            <w:r>
              <w:rPr>
                <w:rFonts w:hint="eastAsia" w:ascii="宋体" w:hAnsi="宋体" w:eastAsia="宋体" w:cs="宋体"/>
                <w:bCs/>
                <w:kern w:val="0"/>
                <w:szCs w:val="21"/>
              </w:rPr>
              <w:t>℃</w:t>
            </w:r>
            <w:r>
              <w:rPr>
                <w:rFonts w:ascii="Times New Roman" w:hAnsi="Times New Roman" w:eastAsia="宋体" w:cs="Times New Roman"/>
                <w:bCs/>
                <w:kern w:val="0"/>
                <w:szCs w:val="21"/>
              </w:rPr>
              <w:t>。远离火种、热源，防止阳光直射。保持容器密封。应与氧化剂分开存放。储存间内的照明、通风等设施应采用防爆型，开关设于仓外。桶装堆垛不可过大，应留墙距、顶距、柱距及必要的防火检查走道。罐储时要有防火防爆技术措施。禁止使用易产生火花的机械设备和工具。灌装时应注意流速(不超过3m/s)，且有接地装置，防止静电积聚。搬运时要轻装轻卸，防止包装及容器损坏。</w:t>
            </w:r>
          </w:p>
        </w:tc>
      </w:tr>
    </w:tbl>
    <w:p>
      <w:pPr>
        <w:spacing w:line="500" w:lineRule="exact"/>
        <w:ind w:firstLine="422" w:firstLineChars="200"/>
        <w:jc w:val="cente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表3-3  柴油的理化性质和危险特性</w:t>
      </w:r>
    </w:p>
    <w:tbl>
      <w:tblPr>
        <w:tblStyle w:val="14"/>
        <w:tblW w:w="92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80"/>
        <w:gridCol w:w="869"/>
        <w:gridCol w:w="1135"/>
        <w:gridCol w:w="1619"/>
        <w:gridCol w:w="1432"/>
        <w:gridCol w:w="715"/>
        <w:gridCol w:w="1417"/>
        <w:gridCol w:w="8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中文名称</w:t>
            </w:r>
          </w:p>
        </w:tc>
        <w:tc>
          <w:tcPr>
            <w:tcW w:w="3623"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柴油</w:t>
            </w:r>
          </w:p>
        </w:tc>
        <w:tc>
          <w:tcPr>
            <w:tcW w:w="1432"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英文名称</w:t>
            </w:r>
          </w:p>
        </w:tc>
        <w:tc>
          <w:tcPr>
            <w:tcW w:w="2951"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diesel oil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pacing w:val="-14"/>
                <w:szCs w:val="21"/>
              </w:rPr>
            </w:pPr>
            <w:r>
              <w:rPr>
                <w:rFonts w:ascii="Times New Roman" w:hAnsi="Times New Roman" w:eastAsia="宋体" w:cs="Times New Roman"/>
                <w:spacing w:val="-14"/>
                <w:szCs w:val="21"/>
              </w:rPr>
              <w:t>外观与气味</w:t>
            </w:r>
          </w:p>
        </w:tc>
        <w:tc>
          <w:tcPr>
            <w:tcW w:w="3623"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稍有粘性的棕色液体</w:t>
            </w:r>
          </w:p>
        </w:tc>
        <w:tc>
          <w:tcPr>
            <w:tcW w:w="1432"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侵入途径</w:t>
            </w:r>
          </w:p>
        </w:tc>
        <w:tc>
          <w:tcPr>
            <w:tcW w:w="2951"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吸入、食入、经皮吸收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熔点(</w:t>
            </w:r>
            <w:r>
              <w:rPr>
                <w:rFonts w:hint="eastAsia" w:ascii="宋体" w:hAnsi="宋体" w:eastAsia="宋体" w:cs="宋体"/>
                <w:szCs w:val="21"/>
              </w:rPr>
              <w:t>℃</w:t>
            </w:r>
            <w:r>
              <w:rPr>
                <w:rFonts w:ascii="Times New Roman" w:hAnsi="Times New Roman" w:eastAsia="宋体" w:cs="Times New Roman"/>
                <w:szCs w:val="21"/>
              </w:rPr>
              <w:t>)</w:t>
            </w:r>
          </w:p>
        </w:tc>
        <w:tc>
          <w:tcPr>
            <w:tcW w:w="869"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-18</w:t>
            </w:r>
          </w:p>
        </w:tc>
        <w:tc>
          <w:tcPr>
            <w:tcW w:w="1135"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沸点(</w:t>
            </w:r>
            <w:r>
              <w:rPr>
                <w:rFonts w:hint="eastAsia" w:ascii="宋体" w:hAnsi="宋体" w:eastAsia="宋体" w:cs="宋体"/>
                <w:szCs w:val="21"/>
              </w:rPr>
              <w:t>℃</w:t>
            </w:r>
            <w:r>
              <w:rPr>
                <w:rFonts w:ascii="Times New Roman" w:hAnsi="Times New Roman" w:eastAsia="宋体" w:cs="Times New Roman"/>
                <w:szCs w:val="21"/>
              </w:rPr>
              <w:t>)</w:t>
            </w:r>
          </w:p>
        </w:tc>
        <w:tc>
          <w:tcPr>
            <w:tcW w:w="1619"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282-338</w:t>
            </w:r>
          </w:p>
        </w:tc>
        <w:tc>
          <w:tcPr>
            <w:tcW w:w="1432"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闪点(</w:t>
            </w:r>
            <w:r>
              <w:rPr>
                <w:rFonts w:hint="eastAsia" w:ascii="宋体" w:hAnsi="宋体" w:eastAsia="宋体" w:cs="宋体"/>
                <w:szCs w:val="21"/>
              </w:rPr>
              <w:t>℃</w:t>
            </w:r>
            <w:r>
              <w:rPr>
                <w:rFonts w:ascii="Times New Roman" w:hAnsi="Times New Roman" w:eastAsia="宋体" w:cs="Times New Roman"/>
                <w:szCs w:val="21"/>
              </w:rPr>
              <w:t>)</w:t>
            </w:r>
          </w:p>
        </w:tc>
        <w:tc>
          <w:tcPr>
            <w:tcW w:w="715"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55</w:t>
            </w:r>
          </w:p>
        </w:tc>
        <w:tc>
          <w:tcPr>
            <w:tcW w:w="1417"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引燃温度(</w:t>
            </w:r>
            <w:r>
              <w:rPr>
                <w:rFonts w:hint="eastAsia" w:ascii="宋体" w:hAnsi="宋体" w:eastAsia="宋体" w:cs="宋体"/>
                <w:szCs w:val="21"/>
              </w:rPr>
              <w:t>℃</w:t>
            </w:r>
            <w:r>
              <w:rPr>
                <w:rFonts w:ascii="Times New Roman" w:hAnsi="Times New Roman" w:eastAsia="宋体" w:cs="Times New Roman"/>
                <w:szCs w:val="21"/>
              </w:rPr>
              <w:t>)</w:t>
            </w:r>
          </w:p>
        </w:tc>
        <w:tc>
          <w:tcPr>
            <w:tcW w:w="819"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257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相对密度</w:t>
            </w:r>
          </w:p>
        </w:tc>
        <w:tc>
          <w:tcPr>
            <w:tcW w:w="869"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水=1</w:t>
            </w:r>
          </w:p>
        </w:tc>
        <w:tc>
          <w:tcPr>
            <w:tcW w:w="2754"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0.87-0.9</w:t>
            </w:r>
          </w:p>
        </w:tc>
        <w:tc>
          <w:tcPr>
            <w:tcW w:w="2147"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燃烧热(kJ/kg)</w:t>
            </w:r>
          </w:p>
        </w:tc>
        <w:tc>
          <w:tcPr>
            <w:tcW w:w="2236"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4.5×10</w:t>
            </w:r>
            <w:r>
              <w:rPr>
                <w:rFonts w:ascii="Times New Roman" w:hAnsi="Times New Roman" w:eastAsia="宋体" w:cs="Times New Roman"/>
                <w:szCs w:val="21"/>
                <w:vertAlign w:val="superscript"/>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pacing w:val="-4"/>
                <w:szCs w:val="21"/>
              </w:rPr>
              <w:t>爆炸极限(V%)</w:t>
            </w:r>
          </w:p>
        </w:tc>
        <w:tc>
          <w:tcPr>
            <w:tcW w:w="3623"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1.5-4.5</w:t>
            </w:r>
          </w:p>
        </w:tc>
        <w:tc>
          <w:tcPr>
            <w:tcW w:w="1432"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灭火剂</w:t>
            </w:r>
          </w:p>
        </w:tc>
        <w:tc>
          <w:tcPr>
            <w:tcW w:w="2951"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泡沫、干粉、二氧化碳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主要用途</w:t>
            </w:r>
          </w:p>
        </w:tc>
        <w:tc>
          <w:tcPr>
            <w:tcW w:w="8006" w:type="dxa"/>
            <w:gridSpan w:val="7"/>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用作柴油机的燃料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物质危险性类别</w:t>
            </w:r>
          </w:p>
        </w:tc>
        <w:tc>
          <w:tcPr>
            <w:tcW w:w="2004"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第3.3类 高闪点易燃液体</w:t>
            </w:r>
          </w:p>
        </w:tc>
        <w:tc>
          <w:tcPr>
            <w:tcW w:w="3051" w:type="dxa"/>
            <w:gridSpan w:val="2"/>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燃烧性</w:t>
            </w:r>
          </w:p>
        </w:tc>
        <w:tc>
          <w:tcPr>
            <w:tcW w:w="2951" w:type="dxa"/>
            <w:gridSpan w:val="3"/>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易燃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危险特性</w:t>
            </w:r>
          </w:p>
        </w:tc>
        <w:tc>
          <w:tcPr>
            <w:tcW w:w="8006" w:type="dxa"/>
            <w:gridSpan w:val="7"/>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遇明火、高热与氧化剂接触，有引起燃烧爆炸的危险。若遇高热，容器内压增大，有开裂和爆炸的危险。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灭火方法</w:t>
            </w:r>
          </w:p>
        </w:tc>
        <w:tc>
          <w:tcPr>
            <w:tcW w:w="8006" w:type="dxa"/>
            <w:gridSpan w:val="7"/>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喷水冷却容器，可能的话将容器从火场移至空旷处。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健康危害</w:t>
            </w:r>
          </w:p>
        </w:tc>
        <w:tc>
          <w:tcPr>
            <w:tcW w:w="8006" w:type="dxa"/>
            <w:gridSpan w:val="7"/>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皮肤接触可为主要吸收途径，可致急性肾脏损害。柴油可引起接触性皮炎、油性痤疮。吸入其雾滴或液体呛入可引起吸入性肺炎。能经胎盘进入胎儿血中。柴油废气可引起眼、鼻刺激症状，头晕及头痛。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急救措施</w:t>
            </w:r>
          </w:p>
        </w:tc>
        <w:tc>
          <w:tcPr>
            <w:tcW w:w="8006" w:type="dxa"/>
            <w:gridSpan w:val="7"/>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皮肤接触：立即脱去被污染的衣着，用肥皂水和清水彻底冲洗皮肤，就医。</w:t>
            </w:r>
          </w:p>
          <w:p>
            <w:pPr>
              <w:contextualSpacing/>
              <w:rPr>
                <w:rFonts w:ascii="Times New Roman" w:hAnsi="Times New Roman" w:eastAsia="宋体" w:cs="Times New Roman"/>
                <w:szCs w:val="21"/>
              </w:rPr>
            </w:pPr>
            <w:r>
              <w:rPr>
                <w:rFonts w:ascii="Times New Roman" w:hAnsi="Times New Roman" w:eastAsia="宋体" w:cs="Times New Roman"/>
                <w:szCs w:val="21"/>
              </w:rPr>
              <w:t>眼睛接触：立即提起眼睑，用大量流动清水或生理盐水冲洗，就医。</w:t>
            </w:r>
          </w:p>
          <w:p>
            <w:pPr>
              <w:contextualSpacing/>
              <w:rPr>
                <w:rFonts w:ascii="Times New Roman" w:hAnsi="Times New Roman" w:eastAsia="宋体" w:cs="Times New Roman"/>
                <w:szCs w:val="21"/>
              </w:rPr>
            </w:pPr>
            <w:r>
              <w:rPr>
                <w:rFonts w:ascii="Times New Roman" w:hAnsi="Times New Roman" w:eastAsia="宋体" w:cs="Times New Roman"/>
                <w:szCs w:val="21"/>
              </w:rPr>
              <w:t>吸入：迅速脱离现场至空气新鲜处。保持呼吸道通畅，如呼吸困难，给输氧。如呼吸停止，立即进行人工呼吸，就医。</w:t>
            </w:r>
          </w:p>
          <w:p>
            <w:pPr>
              <w:contextualSpacing/>
              <w:rPr>
                <w:rFonts w:ascii="Times New Roman" w:hAnsi="Times New Roman" w:eastAsia="宋体" w:cs="Times New Roman"/>
                <w:szCs w:val="21"/>
              </w:rPr>
            </w:pPr>
            <w:r>
              <w:rPr>
                <w:rFonts w:ascii="Times New Roman" w:hAnsi="Times New Roman" w:eastAsia="宋体" w:cs="Times New Roman"/>
                <w:szCs w:val="21"/>
              </w:rPr>
              <w:t>食入：尽快彻底洗胃，就医。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防护措施</w:t>
            </w:r>
          </w:p>
        </w:tc>
        <w:tc>
          <w:tcPr>
            <w:tcW w:w="8006" w:type="dxa"/>
            <w:gridSpan w:val="7"/>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呼吸系统防护：一般不需要特殊防护，高浓度接触时可佩戴自吸过滤式防毒面具(半面罩)。眼睛防护：一般不需要特殊防护，高浓度接触时可戴化学安全防护眼镜。身体防护：穿防静电工作服。手防护：戴防苯耐油手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泄漏紧急处理</w:t>
            </w:r>
          </w:p>
        </w:tc>
        <w:tc>
          <w:tcPr>
            <w:tcW w:w="8006" w:type="dxa"/>
            <w:gridSpan w:val="7"/>
            <w:vAlign w:val="center"/>
          </w:tcPr>
          <w:p>
            <w:pPr>
              <w:contextualSpacing/>
              <w:rPr>
                <w:rFonts w:ascii="Times New Roman" w:hAnsi="Times New Roman" w:eastAsia="宋体" w:cs="Times New Roman"/>
                <w:szCs w:val="21"/>
              </w:rPr>
            </w:pPr>
            <w:r>
              <w:rPr>
                <w:rFonts w:ascii="Times New Roman" w:hAnsi="Times New Roman" w:eastAsia="宋体" w:cs="Times New Roman"/>
                <w:szCs w:val="21"/>
              </w:rPr>
              <w:t>迅速撤离泄漏污染区人员至安全区，并进行隔离，严格限制出入。切断火源。建议应急处理人员戴自给正压式呼吸器，穿一般作业工作服。尽可能切断泄漏源，防止进入下水道、排洪沟等限制性空间。小量泄漏：用活性炭或其它惰性材料吸收。大量泄漏：构筑围堤或挖坑收容；用泵转移至槽车或专用收集器内，回收或运至废物处理场所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280" w:type="dxa"/>
            <w:vAlign w:val="center"/>
          </w:tcPr>
          <w:p>
            <w:pPr>
              <w:contextualSpacing/>
              <w:jc w:val="center"/>
              <w:rPr>
                <w:rFonts w:ascii="Times New Roman" w:hAnsi="Times New Roman" w:eastAsia="宋体" w:cs="Times New Roman"/>
                <w:szCs w:val="21"/>
              </w:rPr>
            </w:pPr>
            <w:r>
              <w:rPr>
                <w:rFonts w:ascii="Times New Roman" w:hAnsi="Times New Roman" w:eastAsia="宋体" w:cs="Times New Roman"/>
                <w:szCs w:val="21"/>
              </w:rPr>
              <w:t>储存注意事项</w:t>
            </w:r>
          </w:p>
        </w:tc>
        <w:tc>
          <w:tcPr>
            <w:tcW w:w="8006" w:type="dxa"/>
            <w:gridSpan w:val="7"/>
            <w:vAlign w:val="center"/>
          </w:tcPr>
          <w:p>
            <w:pPr>
              <w:contextualSpacing/>
              <w:rPr>
                <w:rFonts w:ascii="Times New Roman" w:hAnsi="Times New Roman" w:eastAsia="宋体" w:cs="Times New Roman"/>
                <w:bCs/>
                <w:kern w:val="0"/>
                <w:szCs w:val="21"/>
              </w:rPr>
            </w:pPr>
            <w:r>
              <w:rPr>
                <w:rFonts w:ascii="Times New Roman" w:hAnsi="Times New Roman" w:eastAsia="宋体" w:cs="Times New Roman"/>
                <w:bCs/>
                <w:kern w:val="0"/>
                <w:szCs w:val="21"/>
              </w:rPr>
              <w:t>储存于阴凉、通风的库房。远离火种、热源。应与氧化剂、卤素分开存放，切忌混储。采用防爆型照明、通风设施。禁止使用易产生火花的机械设备和工具。储区应备有泄漏应急处理设备和合适的收容材料。</w:t>
            </w:r>
          </w:p>
        </w:tc>
      </w:tr>
    </w:tbl>
    <w:p>
      <w:pPr>
        <w:spacing w:line="50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fldChar w:fldCharType="begin"/>
      </w:r>
      <w:r>
        <w:rPr>
          <w:rFonts w:ascii="Times New Roman" w:hAnsi="Times New Roman" w:cs="Times New Roman"/>
          <w:b/>
          <w:bCs/>
          <w:color w:val="000000" w:themeColor="text1"/>
          <w:sz w:val="24"/>
          <w:szCs w:val="24"/>
        </w:rPr>
        <w:instrText xml:space="preserve"> = 2 \* GB3 </w:instrText>
      </w:r>
      <w:r>
        <w:rPr>
          <w:rFonts w:ascii="Times New Roman" w:hAnsi="Times New Roman" w:cs="Times New Roman"/>
          <w:b/>
          <w:bCs/>
          <w:color w:val="000000" w:themeColor="text1"/>
          <w:sz w:val="24"/>
          <w:szCs w:val="24"/>
        </w:rPr>
        <w:fldChar w:fldCharType="separate"/>
      </w:r>
      <w:r>
        <w:rPr>
          <w:rFonts w:hint="eastAsia" w:ascii="宋体" w:hAnsi="宋体" w:eastAsia="宋体" w:cs="宋体"/>
          <w:b/>
          <w:bCs/>
          <w:color w:val="000000" w:themeColor="text1"/>
          <w:sz w:val="24"/>
          <w:szCs w:val="24"/>
        </w:rPr>
        <w:t>②</w:t>
      </w:r>
      <w:r>
        <w:rPr>
          <w:rFonts w:ascii="Times New Roman" w:hAnsi="Times New Roman" w:cs="Times New Roman"/>
          <w:color w:val="000000" w:themeColor="text1"/>
          <w:sz w:val="24"/>
          <w:szCs w:val="24"/>
        </w:rPr>
        <w:fldChar w:fldCharType="end"/>
      </w:r>
      <w:r>
        <w:rPr>
          <w:rFonts w:ascii="Times New Roman" w:hAnsi="Times New Roman" w:cs="Times New Roman"/>
          <w:b/>
          <w:bCs/>
          <w:color w:val="000000" w:themeColor="text1"/>
          <w:sz w:val="24"/>
          <w:szCs w:val="24"/>
        </w:rPr>
        <w:t>重大危险源辨识</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本项目</w:t>
      </w:r>
      <w:r>
        <w:rPr>
          <w:rFonts w:ascii="Times New Roman" w:hAnsi="Times New Roman" w:cs="Times New Roman"/>
          <w:bCs/>
          <w:color w:val="000000" w:themeColor="text1"/>
          <w:sz w:val="24"/>
          <w:szCs w:val="24"/>
        </w:rPr>
        <w:t>生产过程中涉及到的</w:t>
      </w:r>
      <w:r>
        <w:rPr>
          <w:rFonts w:ascii="Times New Roman" w:hAnsi="Times New Roman" w:cs="Times New Roman"/>
          <w:color w:val="000000" w:themeColor="text1"/>
          <w:sz w:val="24"/>
          <w:szCs w:val="24"/>
        </w:rPr>
        <w:t>化学药品主要为汽油</w:t>
      </w:r>
      <w:r>
        <w:rPr>
          <w:rFonts w:hint="eastAsia" w:ascii="Times New Roman" w:hAnsi="Times New Roman" w:cs="Times New Roman"/>
          <w:color w:val="000000" w:themeColor="text1"/>
          <w:sz w:val="24"/>
          <w:szCs w:val="24"/>
          <w:lang w:val="en-US" w:eastAsia="zh-CN"/>
        </w:rPr>
        <w:t>和柴油</w:t>
      </w:r>
      <w:r>
        <w:rPr>
          <w:rFonts w:ascii="Times New Roman" w:hAnsi="Times New Roman" w:cs="Times New Roman"/>
          <w:color w:val="000000" w:themeColor="text1"/>
          <w:sz w:val="24"/>
          <w:szCs w:val="24"/>
        </w:rPr>
        <w:t>。对照《危险化学品重大危险源辨识》（GB18218—2018）中所列名录中有毒物质及临界量可知，导则对本项目所储存的汽油临界储存量的规定，贮存区汽油临界量为200t</w:t>
      </w:r>
      <w:r>
        <w:rPr>
          <w:rFonts w:hint="eastAsia" w:ascii="Times New Roman" w:hAnsi="Times New Roman" w:cs="Times New Roman"/>
          <w:color w:val="000000" w:themeColor="text1"/>
          <w:sz w:val="24"/>
          <w:szCs w:val="24"/>
          <w:lang w:eastAsia="zh-CN"/>
        </w:rPr>
        <w:t>，</w:t>
      </w:r>
      <w:r>
        <w:rPr>
          <w:rFonts w:hint="eastAsia" w:ascii="Times New Roman" w:hAnsi="Times New Roman" w:cs="Times New Roman"/>
          <w:color w:val="000000" w:themeColor="text1"/>
          <w:sz w:val="24"/>
          <w:szCs w:val="24"/>
          <w:lang w:val="en-US" w:eastAsia="zh-CN"/>
        </w:rPr>
        <w:t>柴油临界量为5000t</w:t>
      </w:r>
      <w:r>
        <w:rPr>
          <w:rFonts w:ascii="Times New Roman" w:hAnsi="Times New Roman" w:cs="Times New Roman"/>
          <w:color w:val="000000" w:themeColor="text1"/>
          <w:sz w:val="24"/>
          <w:szCs w:val="24"/>
        </w:rPr>
        <w:t>。</w:t>
      </w:r>
    </w:p>
    <w:p>
      <w:pPr>
        <w:spacing w:line="500" w:lineRule="exact"/>
        <w:ind w:firstLine="480" w:firstLineChars="200"/>
        <w:rPr>
          <w:rFonts w:hint="default"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rPr>
        <w:t>该加油站有汽油储罐</w:t>
      </w:r>
      <w:r>
        <w:rPr>
          <w:rFonts w:hint="eastAsia" w:ascii="Times New Roman" w:hAnsi="Times New Roman" w:cs="Times New Roman"/>
          <w:color w:val="000000" w:themeColor="text1"/>
          <w:sz w:val="24"/>
          <w:szCs w:val="24"/>
          <w:lang w:val="en-US" w:eastAsia="zh-CN"/>
        </w:rPr>
        <w:t>3</w:t>
      </w:r>
      <w:r>
        <w:rPr>
          <w:rFonts w:ascii="Times New Roman" w:hAnsi="Times New Roman" w:cs="Times New Roman"/>
          <w:color w:val="000000" w:themeColor="text1"/>
          <w:sz w:val="24"/>
          <w:szCs w:val="24"/>
        </w:rPr>
        <w:t>个，容量为30m</w:t>
      </w:r>
      <w:r>
        <w:rPr>
          <w:rFonts w:ascii="Times New Roman" w:hAnsi="Times New Roman" w:cs="Times New Roman"/>
          <w:color w:val="000000" w:themeColor="text1"/>
          <w:sz w:val="24"/>
          <w:szCs w:val="24"/>
          <w:vertAlign w:val="superscript"/>
        </w:rPr>
        <w:t>3</w:t>
      </w:r>
      <w:r>
        <w:rPr>
          <w:rFonts w:ascii="Times New Roman" w:hAnsi="Times New Roman" w:cs="Times New Roman"/>
          <w:color w:val="000000" w:themeColor="text1"/>
          <w:sz w:val="24"/>
          <w:szCs w:val="24"/>
        </w:rPr>
        <w:t>，汽油密度为0.7</w:t>
      </w:r>
      <w:r>
        <w:rPr>
          <w:rFonts w:hint="eastAsia" w:ascii="Times New Roman" w:hAnsi="Times New Roman" w:cs="Times New Roman"/>
          <w:color w:val="000000" w:themeColor="text1"/>
          <w:sz w:val="24"/>
          <w:szCs w:val="24"/>
          <w:lang w:val="en-US" w:eastAsia="zh-CN"/>
        </w:rPr>
        <w:t>2</w:t>
      </w:r>
      <w:r>
        <w:rPr>
          <w:rFonts w:ascii="Times New Roman" w:hAnsi="Times New Roman" w:cs="Times New Roman"/>
          <w:color w:val="000000" w:themeColor="text1"/>
          <w:sz w:val="24"/>
          <w:szCs w:val="24"/>
        </w:rPr>
        <w:t>，汽油最大贮存量为</w:t>
      </w:r>
      <w:r>
        <w:rPr>
          <w:rFonts w:hint="eastAsia" w:ascii="Times New Roman" w:hAnsi="Times New Roman" w:cs="Times New Roman"/>
          <w:color w:val="000000" w:themeColor="text1"/>
          <w:sz w:val="24"/>
          <w:szCs w:val="24"/>
          <w:lang w:val="en-US" w:eastAsia="zh-CN"/>
        </w:rPr>
        <w:t>90</w:t>
      </w:r>
      <w:r>
        <w:rPr>
          <w:rFonts w:ascii="Times New Roman" w:hAnsi="Times New Roman" w:cs="Times New Roman"/>
          <w:color w:val="000000" w:themeColor="text1"/>
          <w:sz w:val="24"/>
          <w:szCs w:val="24"/>
        </w:rPr>
        <w:t>m</w:t>
      </w:r>
      <w:r>
        <w:rPr>
          <w:rFonts w:ascii="Times New Roman" w:hAnsi="Times New Roman" w:cs="Times New Roman"/>
          <w:color w:val="000000" w:themeColor="text1"/>
          <w:sz w:val="24"/>
          <w:szCs w:val="24"/>
          <w:vertAlign w:val="superscript"/>
        </w:rPr>
        <w:t>3</w:t>
      </w:r>
      <w:r>
        <w:rPr>
          <w:rFonts w:hint="eastAsia" w:ascii="Times New Roman" w:hAnsi="Times New Roman" w:cs="Times New Roman"/>
          <w:color w:val="000000" w:themeColor="text1"/>
          <w:sz w:val="24"/>
          <w:szCs w:val="24"/>
          <w:lang w:val="en-US" w:eastAsia="zh-CN"/>
        </w:rPr>
        <w:t>×0.72 ×0.9 = 58.32t</w:t>
      </w:r>
      <w:r>
        <w:rPr>
          <w:rFonts w:ascii="Times New Roman" w:hAnsi="Times New Roman" w:cs="Times New Roman"/>
          <w:color w:val="000000" w:themeColor="text1"/>
          <w:sz w:val="24"/>
          <w:szCs w:val="24"/>
        </w:rPr>
        <w:t>。有</w:t>
      </w:r>
      <w:r>
        <w:rPr>
          <w:rFonts w:hint="eastAsia" w:ascii="Times New Roman" w:hAnsi="Times New Roman" w:cs="Times New Roman"/>
          <w:color w:val="000000" w:themeColor="text1"/>
          <w:sz w:val="24"/>
          <w:szCs w:val="24"/>
          <w:lang w:val="en-US" w:eastAsia="zh-CN"/>
        </w:rPr>
        <w:t>柴</w:t>
      </w:r>
      <w:r>
        <w:rPr>
          <w:rFonts w:ascii="Times New Roman" w:hAnsi="Times New Roman" w:cs="Times New Roman"/>
          <w:color w:val="000000" w:themeColor="text1"/>
          <w:sz w:val="24"/>
          <w:szCs w:val="24"/>
        </w:rPr>
        <w:t>油储罐2个，容量为30m</w:t>
      </w:r>
      <w:r>
        <w:rPr>
          <w:rFonts w:ascii="Times New Roman" w:hAnsi="Times New Roman" w:cs="Times New Roman"/>
          <w:color w:val="000000" w:themeColor="text1"/>
          <w:sz w:val="24"/>
          <w:szCs w:val="24"/>
          <w:vertAlign w:val="superscript"/>
        </w:rPr>
        <w:t>3</w:t>
      </w:r>
      <w:r>
        <w:rPr>
          <w:rFonts w:ascii="Times New Roman" w:hAnsi="Times New Roman" w:cs="Times New Roman"/>
          <w:color w:val="000000" w:themeColor="text1"/>
          <w:sz w:val="24"/>
          <w:szCs w:val="24"/>
        </w:rPr>
        <w:t>，</w:t>
      </w:r>
      <w:r>
        <w:rPr>
          <w:rFonts w:hint="eastAsia" w:ascii="Times New Roman" w:hAnsi="Times New Roman" w:cs="Times New Roman"/>
          <w:color w:val="000000" w:themeColor="text1"/>
          <w:sz w:val="24"/>
          <w:szCs w:val="24"/>
          <w:lang w:val="en-US" w:eastAsia="zh-CN"/>
        </w:rPr>
        <w:t>柴</w:t>
      </w:r>
      <w:r>
        <w:rPr>
          <w:rFonts w:ascii="Times New Roman" w:hAnsi="Times New Roman" w:cs="Times New Roman"/>
          <w:color w:val="000000" w:themeColor="text1"/>
          <w:sz w:val="24"/>
          <w:szCs w:val="24"/>
        </w:rPr>
        <w:t>油密度为0.</w:t>
      </w:r>
      <w:r>
        <w:rPr>
          <w:rFonts w:hint="eastAsia" w:ascii="Times New Roman" w:hAnsi="Times New Roman" w:cs="Times New Roman"/>
          <w:color w:val="000000" w:themeColor="text1"/>
          <w:sz w:val="24"/>
          <w:szCs w:val="24"/>
          <w:lang w:val="en-US" w:eastAsia="zh-CN"/>
        </w:rPr>
        <w:t>83</w:t>
      </w:r>
      <w:r>
        <w:rPr>
          <w:rFonts w:ascii="Times New Roman" w:hAnsi="Times New Roman" w:cs="Times New Roman"/>
          <w:color w:val="000000" w:themeColor="text1"/>
          <w:sz w:val="24"/>
          <w:szCs w:val="24"/>
        </w:rPr>
        <w:t>，</w:t>
      </w:r>
      <w:r>
        <w:rPr>
          <w:rFonts w:hint="eastAsia" w:ascii="Times New Roman" w:hAnsi="Times New Roman" w:cs="Times New Roman"/>
          <w:color w:val="000000" w:themeColor="text1"/>
          <w:sz w:val="24"/>
          <w:szCs w:val="24"/>
          <w:lang w:val="en-US" w:eastAsia="zh-CN"/>
        </w:rPr>
        <w:t>柴</w:t>
      </w:r>
      <w:r>
        <w:rPr>
          <w:rFonts w:ascii="Times New Roman" w:hAnsi="Times New Roman" w:cs="Times New Roman"/>
          <w:color w:val="000000" w:themeColor="text1"/>
          <w:sz w:val="24"/>
          <w:szCs w:val="24"/>
        </w:rPr>
        <w:t>油最大贮存量为</w:t>
      </w:r>
      <w:r>
        <w:rPr>
          <w:rFonts w:hint="eastAsia" w:ascii="Times New Roman" w:hAnsi="Times New Roman" w:cs="Times New Roman"/>
          <w:color w:val="000000" w:themeColor="text1"/>
          <w:sz w:val="24"/>
          <w:szCs w:val="24"/>
          <w:lang w:val="en-US" w:eastAsia="zh-CN"/>
        </w:rPr>
        <w:t>30</w:t>
      </w:r>
      <w:r>
        <w:rPr>
          <w:rFonts w:ascii="Times New Roman" w:hAnsi="Times New Roman" w:cs="Times New Roman"/>
          <w:color w:val="000000" w:themeColor="text1"/>
          <w:sz w:val="24"/>
          <w:szCs w:val="24"/>
        </w:rPr>
        <w:t>m</w:t>
      </w:r>
      <w:r>
        <w:rPr>
          <w:rFonts w:ascii="Times New Roman" w:hAnsi="Times New Roman" w:cs="Times New Roman"/>
          <w:color w:val="000000" w:themeColor="text1"/>
          <w:sz w:val="24"/>
          <w:szCs w:val="24"/>
          <w:vertAlign w:val="superscript"/>
        </w:rPr>
        <w:t>3</w:t>
      </w:r>
      <w:r>
        <w:rPr>
          <w:rFonts w:hint="eastAsia" w:ascii="Times New Roman" w:hAnsi="Times New Roman" w:cs="Times New Roman"/>
          <w:color w:val="000000" w:themeColor="text1"/>
          <w:sz w:val="24"/>
          <w:szCs w:val="24"/>
          <w:lang w:val="en-US" w:eastAsia="zh-CN"/>
        </w:rPr>
        <w:t>×0.83×0.9 = 22.41t</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项目重大危险源辨识表如下表3-4所示。</w:t>
      </w:r>
    </w:p>
    <w:p>
      <w:pPr>
        <w:spacing w:line="500" w:lineRule="exact"/>
        <w:ind w:firstLine="422" w:firstLineChars="200"/>
        <w:jc w:val="cente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表3-4  重大危险源辨识一览表</w:t>
      </w:r>
    </w:p>
    <w:tbl>
      <w:tblPr>
        <w:tblStyle w:val="14"/>
        <w:tblpPr w:leftFromText="180" w:rightFromText="180" w:vertAnchor="text" w:horzAnchor="page" w:tblpX="1518" w:tblpY="190"/>
        <w:tblOverlap w:val="never"/>
        <w:tblW w:w="8522" w:type="dxa"/>
        <w:tblInd w:w="0" w:type="dxa"/>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1136"/>
        <w:gridCol w:w="1196"/>
        <w:gridCol w:w="1202"/>
        <w:gridCol w:w="1271"/>
        <w:gridCol w:w="1154"/>
        <w:gridCol w:w="1520"/>
        <w:gridCol w:w="1043"/>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386" w:hRule="atLeast"/>
        </w:trPr>
        <w:tc>
          <w:tcPr>
            <w:tcW w:w="1136" w:type="dxa"/>
            <w:vMerge w:val="restart"/>
            <w:tcBorders>
              <w:tl2br w:val="nil"/>
              <w:tr2bl w:val="nil"/>
            </w:tcBorders>
            <w:vAlign w:val="center"/>
          </w:tcPr>
          <w:p>
            <w:pPr>
              <w:jc w:val="center"/>
              <w:rPr>
                <w:rFonts w:ascii="Times New Roman" w:hAnsi="Times New Roman" w:cs="Times New Roman"/>
                <w:b/>
                <w:bCs/>
                <w:szCs w:val="21"/>
              </w:rPr>
            </w:pPr>
            <w:bookmarkStart w:id="275" w:name="_Toc16098_WPSOffice_Level2"/>
            <w:bookmarkStart w:id="276" w:name="_Toc17283_WPSOffice_Level2"/>
            <w:bookmarkStart w:id="277" w:name="_Toc7403_WPSOffice_Level2"/>
            <w:bookmarkStart w:id="278" w:name="_Toc532817028"/>
            <w:bookmarkStart w:id="279" w:name="_Toc28676"/>
            <w:bookmarkStart w:id="280" w:name="_Toc4583_WPSOffice_Level2"/>
            <w:bookmarkStart w:id="281" w:name="_Toc23861_WPSOffice_Level2"/>
            <w:r>
              <w:rPr>
                <w:rFonts w:ascii="Times New Roman" w:hAnsi="Times New Roman" w:cs="Times New Roman"/>
                <w:b/>
                <w:bCs/>
                <w:szCs w:val="21"/>
              </w:rPr>
              <w:t>物质名称</w:t>
            </w:r>
          </w:p>
        </w:tc>
        <w:tc>
          <w:tcPr>
            <w:tcW w:w="2398" w:type="dxa"/>
            <w:gridSpan w:val="2"/>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rPr>
              <w:t>临界量（t）</w:t>
            </w:r>
          </w:p>
        </w:tc>
        <w:tc>
          <w:tcPr>
            <w:tcW w:w="2425" w:type="dxa"/>
            <w:gridSpan w:val="2"/>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rPr>
              <w:t>实际量（t）</w:t>
            </w:r>
          </w:p>
        </w:tc>
        <w:tc>
          <w:tcPr>
            <w:tcW w:w="1520" w:type="dxa"/>
            <w:vMerge w:val="restart"/>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rPr>
              <w:t>重大危险源</w:t>
            </w:r>
          </w:p>
        </w:tc>
        <w:tc>
          <w:tcPr>
            <w:tcW w:w="1043" w:type="dxa"/>
            <w:vMerge w:val="restart"/>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rPr>
              <w:t>位置</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329" w:hRule="atLeast"/>
        </w:trPr>
        <w:tc>
          <w:tcPr>
            <w:tcW w:w="1136" w:type="dxa"/>
            <w:vMerge w:val="continue"/>
            <w:tcBorders>
              <w:tl2br w:val="nil"/>
              <w:tr2bl w:val="nil"/>
            </w:tcBorders>
            <w:vAlign w:val="center"/>
          </w:tcPr>
          <w:p>
            <w:pPr>
              <w:jc w:val="center"/>
              <w:rPr>
                <w:rFonts w:ascii="Times New Roman" w:hAnsi="Times New Roman" w:cs="Times New Roman"/>
                <w:szCs w:val="21"/>
              </w:rPr>
            </w:pPr>
          </w:p>
        </w:tc>
        <w:tc>
          <w:tcPr>
            <w:tcW w:w="1196" w:type="dxa"/>
            <w:tcBorders>
              <w:tl2br w:val="nil"/>
              <w:tr2bl w:val="nil"/>
            </w:tcBorders>
            <w:vAlign w:val="center"/>
          </w:tcPr>
          <w:p>
            <w:pPr>
              <w:jc w:val="center"/>
              <w:rPr>
                <w:rFonts w:ascii="Times New Roman" w:hAnsi="Times New Roman" w:cs="Times New Roman"/>
                <w:b/>
                <w:szCs w:val="21"/>
              </w:rPr>
            </w:pPr>
            <w:r>
              <w:rPr>
                <w:rFonts w:ascii="Times New Roman" w:hAnsi="Times New Roman" w:cs="Times New Roman"/>
                <w:b/>
                <w:szCs w:val="21"/>
              </w:rPr>
              <w:t>生产场所</w:t>
            </w:r>
          </w:p>
        </w:tc>
        <w:tc>
          <w:tcPr>
            <w:tcW w:w="1202" w:type="dxa"/>
            <w:tcBorders>
              <w:tl2br w:val="nil"/>
              <w:tr2bl w:val="nil"/>
            </w:tcBorders>
            <w:vAlign w:val="center"/>
          </w:tcPr>
          <w:p>
            <w:pPr>
              <w:jc w:val="center"/>
              <w:rPr>
                <w:rFonts w:ascii="Times New Roman" w:hAnsi="Times New Roman" w:cs="Times New Roman"/>
                <w:b/>
                <w:szCs w:val="21"/>
              </w:rPr>
            </w:pPr>
            <w:r>
              <w:rPr>
                <w:rFonts w:ascii="Times New Roman" w:hAnsi="Times New Roman" w:cs="Times New Roman"/>
                <w:b/>
                <w:szCs w:val="21"/>
              </w:rPr>
              <w:t>贮存区</w:t>
            </w:r>
          </w:p>
        </w:tc>
        <w:tc>
          <w:tcPr>
            <w:tcW w:w="1271" w:type="dxa"/>
            <w:tcBorders>
              <w:tl2br w:val="nil"/>
              <w:tr2bl w:val="nil"/>
            </w:tcBorders>
            <w:vAlign w:val="center"/>
          </w:tcPr>
          <w:p>
            <w:pPr>
              <w:jc w:val="center"/>
              <w:rPr>
                <w:rFonts w:ascii="Times New Roman" w:hAnsi="Times New Roman" w:cs="Times New Roman"/>
                <w:b/>
                <w:szCs w:val="21"/>
              </w:rPr>
            </w:pPr>
            <w:r>
              <w:rPr>
                <w:rFonts w:ascii="Times New Roman" w:hAnsi="Times New Roman" w:cs="Times New Roman"/>
                <w:b/>
                <w:szCs w:val="21"/>
              </w:rPr>
              <w:t>生产场所</w:t>
            </w:r>
          </w:p>
        </w:tc>
        <w:tc>
          <w:tcPr>
            <w:tcW w:w="1154" w:type="dxa"/>
            <w:tcBorders>
              <w:tl2br w:val="nil"/>
              <w:tr2bl w:val="nil"/>
            </w:tcBorders>
            <w:vAlign w:val="center"/>
          </w:tcPr>
          <w:p>
            <w:pPr>
              <w:jc w:val="center"/>
              <w:rPr>
                <w:rFonts w:ascii="Times New Roman" w:hAnsi="Times New Roman" w:cs="Times New Roman"/>
                <w:b/>
                <w:szCs w:val="21"/>
              </w:rPr>
            </w:pPr>
            <w:r>
              <w:rPr>
                <w:rFonts w:ascii="Times New Roman" w:hAnsi="Times New Roman" w:cs="Times New Roman"/>
                <w:b/>
                <w:szCs w:val="21"/>
              </w:rPr>
              <w:t>贮存区</w:t>
            </w:r>
          </w:p>
        </w:tc>
        <w:tc>
          <w:tcPr>
            <w:tcW w:w="1520" w:type="dxa"/>
            <w:vMerge w:val="continue"/>
            <w:tcBorders>
              <w:tl2br w:val="nil"/>
              <w:tr2bl w:val="nil"/>
            </w:tcBorders>
            <w:vAlign w:val="center"/>
          </w:tcPr>
          <w:p>
            <w:pPr>
              <w:jc w:val="center"/>
              <w:rPr>
                <w:rFonts w:ascii="Times New Roman" w:hAnsi="Times New Roman" w:cs="Times New Roman"/>
                <w:szCs w:val="21"/>
              </w:rPr>
            </w:pPr>
          </w:p>
        </w:tc>
        <w:tc>
          <w:tcPr>
            <w:tcW w:w="1043" w:type="dxa"/>
            <w:vMerge w:val="continue"/>
            <w:tcBorders>
              <w:tl2br w:val="nil"/>
              <w:tr2bl w:val="nil"/>
            </w:tcBorders>
            <w:vAlign w:val="center"/>
          </w:tcPr>
          <w:p>
            <w:pPr>
              <w:jc w:val="center"/>
              <w:rPr>
                <w:rFonts w:ascii="Times New Roman" w:hAnsi="Times New Roman" w:cs="Times New Roman"/>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20" w:hRule="atLeast"/>
        </w:trPr>
        <w:tc>
          <w:tcPr>
            <w:tcW w:w="1136"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汽油</w:t>
            </w:r>
          </w:p>
        </w:tc>
        <w:tc>
          <w:tcPr>
            <w:tcW w:w="1196"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w:t>
            </w:r>
          </w:p>
        </w:tc>
        <w:tc>
          <w:tcPr>
            <w:tcW w:w="1202"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200t</w:t>
            </w:r>
          </w:p>
        </w:tc>
        <w:tc>
          <w:tcPr>
            <w:tcW w:w="127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w:t>
            </w:r>
          </w:p>
        </w:tc>
        <w:tc>
          <w:tcPr>
            <w:tcW w:w="1154" w:type="dxa"/>
            <w:tcBorders>
              <w:tl2br w:val="nil"/>
              <w:tr2bl w:val="nil"/>
            </w:tcBorders>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color w:val="000000" w:themeColor="text1"/>
                <w:sz w:val="21"/>
                <w:szCs w:val="21"/>
                <w:lang w:val="en-US" w:eastAsia="zh-CN"/>
              </w:rPr>
              <w:t>58.32</w:t>
            </w:r>
          </w:p>
        </w:tc>
        <w:tc>
          <w:tcPr>
            <w:tcW w:w="152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易燃易爆</w:t>
            </w:r>
          </w:p>
        </w:tc>
        <w:tc>
          <w:tcPr>
            <w:tcW w:w="1043"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油罐区</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20" w:hRule="atLeast"/>
        </w:trPr>
        <w:tc>
          <w:tcPr>
            <w:tcW w:w="1136" w:type="dxa"/>
            <w:tcBorders>
              <w:tl2br w:val="nil"/>
              <w:tr2bl w:val="nil"/>
            </w:tcBorders>
            <w:vAlign w:val="center"/>
          </w:tcPr>
          <w:p>
            <w:pPr>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柴油</w:t>
            </w:r>
          </w:p>
        </w:tc>
        <w:tc>
          <w:tcPr>
            <w:tcW w:w="1196" w:type="dxa"/>
            <w:tcBorders>
              <w:tl2br w:val="nil"/>
              <w:tr2bl w:val="nil"/>
            </w:tcBorders>
            <w:vAlign w:val="center"/>
          </w:tcPr>
          <w:p>
            <w:pPr>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w:t>
            </w:r>
          </w:p>
        </w:tc>
        <w:tc>
          <w:tcPr>
            <w:tcW w:w="1202" w:type="dxa"/>
            <w:tcBorders>
              <w:tl2br w:val="nil"/>
              <w:tr2bl w:val="nil"/>
            </w:tcBorders>
            <w:vAlign w:val="center"/>
          </w:tcPr>
          <w:p>
            <w:pPr>
              <w:jc w:val="center"/>
              <w:rPr>
                <w:rFonts w:hint="default"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5000t</w:t>
            </w:r>
          </w:p>
        </w:tc>
        <w:tc>
          <w:tcPr>
            <w:tcW w:w="1271" w:type="dxa"/>
            <w:tcBorders>
              <w:tl2br w:val="nil"/>
              <w:tr2bl w:val="nil"/>
            </w:tcBorders>
            <w:vAlign w:val="center"/>
          </w:tcPr>
          <w:p>
            <w:pPr>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w:t>
            </w:r>
          </w:p>
        </w:tc>
        <w:tc>
          <w:tcPr>
            <w:tcW w:w="1154" w:type="dxa"/>
            <w:tcBorders>
              <w:tl2br w:val="nil"/>
              <w:tr2bl w:val="nil"/>
            </w:tcBorders>
            <w:vAlign w:val="center"/>
          </w:tcPr>
          <w:p>
            <w:pPr>
              <w:jc w:val="center"/>
              <w:rPr>
                <w:rFonts w:hint="default" w:ascii="Times New Roman" w:hAnsi="Times New Roman" w:cs="Times New Roman"/>
                <w:color w:val="000000" w:themeColor="text1"/>
                <w:sz w:val="21"/>
                <w:szCs w:val="21"/>
                <w:lang w:val="en-US" w:eastAsia="zh-CN"/>
              </w:rPr>
            </w:pPr>
            <w:r>
              <w:rPr>
                <w:rFonts w:hint="eastAsia" w:ascii="Times New Roman" w:hAnsi="Times New Roman" w:cs="Times New Roman"/>
                <w:color w:val="000000" w:themeColor="text1"/>
                <w:sz w:val="21"/>
                <w:szCs w:val="21"/>
                <w:lang w:val="en-US" w:eastAsia="zh-CN"/>
              </w:rPr>
              <w:t>22.41</w:t>
            </w:r>
          </w:p>
        </w:tc>
        <w:tc>
          <w:tcPr>
            <w:tcW w:w="1520" w:type="dxa"/>
            <w:tcBorders>
              <w:tl2br w:val="nil"/>
              <w:tr2bl w:val="nil"/>
            </w:tcBorders>
            <w:vAlign w:val="center"/>
          </w:tcPr>
          <w:p>
            <w:pPr>
              <w:jc w:val="center"/>
              <w:rPr>
                <w:rFonts w:hint="eastAsia" w:ascii="Times New Roman" w:hAnsi="Times New Roman" w:cs="Times New Roman"/>
                <w:szCs w:val="21"/>
              </w:rPr>
            </w:pPr>
            <w:r>
              <w:rPr>
                <w:rFonts w:hint="eastAsia" w:ascii="Times New Roman" w:hAnsi="Times New Roman" w:cs="Times New Roman"/>
                <w:szCs w:val="21"/>
              </w:rPr>
              <w:t>易燃易爆</w:t>
            </w:r>
          </w:p>
        </w:tc>
        <w:tc>
          <w:tcPr>
            <w:tcW w:w="1043"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油罐区</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20" w:hRule="atLeast"/>
        </w:trPr>
        <w:tc>
          <w:tcPr>
            <w:tcW w:w="1136" w:type="dxa"/>
            <w:tcBorders>
              <w:tl2br w:val="nil"/>
              <w:tr2bl w:val="nil"/>
            </w:tcBorders>
            <w:vAlign w:val="center"/>
          </w:tcPr>
          <w:p>
            <w:pPr>
              <w:jc w:val="center"/>
              <w:rPr>
                <w:rFonts w:ascii="Times New Roman" w:hAnsi="Times New Roman" w:cs="Times New Roman"/>
                <w:szCs w:val="21"/>
              </w:rPr>
            </w:pPr>
          </w:p>
        </w:tc>
        <w:tc>
          <w:tcPr>
            <w:tcW w:w="4823" w:type="dxa"/>
            <w:gridSpan w:val="4"/>
            <w:tcBorders>
              <w:tl2br w:val="nil"/>
              <w:tr2bl w:val="nil"/>
            </w:tcBorders>
            <w:vAlign w:val="center"/>
          </w:tcPr>
          <w:p>
            <w:pPr>
              <w:jc w:val="center"/>
              <w:rPr>
                <w:rFonts w:hint="default" w:ascii="Times New Roman" w:hAnsi="Times New Roman" w:cs="Times New Roman"/>
                <w:szCs w:val="21"/>
                <w:lang w:val="en-US"/>
              </w:rPr>
            </w:pPr>
            <w:r>
              <w:rPr>
                <w:rFonts w:hint="eastAsia" w:ascii="Times New Roman" w:hAnsi="Times New Roman" w:cs="Times New Roman"/>
                <w:color w:val="000000" w:themeColor="text1"/>
                <w:sz w:val="21"/>
                <w:szCs w:val="21"/>
                <w:lang w:val="en-US" w:eastAsia="zh-CN"/>
              </w:rPr>
              <w:t>58.32/200 + 22.41/5000 =0.295</w:t>
            </w:r>
            <w:r>
              <w:rPr>
                <w:szCs w:val="21"/>
              </w:rPr>
              <w:t>＜1</w:t>
            </w:r>
          </w:p>
        </w:tc>
        <w:tc>
          <w:tcPr>
            <w:tcW w:w="152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否</w:t>
            </w:r>
          </w:p>
        </w:tc>
        <w:tc>
          <w:tcPr>
            <w:tcW w:w="1043" w:type="dxa"/>
            <w:tcBorders>
              <w:tl2br w:val="nil"/>
              <w:tr2bl w:val="nil"/>
            </w:tcBorders>
            <w:vAlign w:val="center"/>
          </w:tcPr>
          <w:p>
            <w:pPr>
              <w:jc w:val="center"/>
              <w:rPr>
                <w:rFonts w:ascii="Times New Roman" w:hAnsi="Times New Roman" w:cs="Times New Roman"/>
                <w:szCs w:val="21"/>
              </w:rPr>
            </w:pPr>
          </w:p>
        </w:tc>
      </w:tr>
    </w:tbl>
    <w:p>
      <w:pPr>
        <w:spacing w:line="500" w:lineRule="exact"/>
        <w:ind w:firstLine="480" w:firstLineChars="200"/>
        <w:rPr>
          <w:rFonts w:ascii="Times New Roman" w:hAnsi="Times New Roman" w:cs="Times New Roman"/>
          <w:color w:val="000000" w:themeColor="text1"/>
          <w:sz w:val="24"/>
          <w:szCs w:val="24"/>
        </w:rPr>
      </w:pPr>
    </w:p>
    <w:p>
      <w:pPr>
        <w:spacing w:line="500" w:lineRule="exact"/>
        <w:ind w:firstLine="480" w:firstLineChars="200"/>
        <w:rPr>
          <w:rFonts w:ascii="Times New Roman" w:hAnsi="Times New Roman" w:cs="Times New Roman"/>
          <w:color w:val="000000" w:themeColor="text1"/>
          <w:sz w:val="24"/>
          <w:szCs w:val="24"/>
        </w:rPr>
      </w:pPr>
    </w:p>
    <w:p>
      <w:pPr>
        <w:spacing w:line="500" w:lineRule="exact"/>
        <w:ind w:firstLine="480" w:firstLineChars="200"/>
        <w:rPr>
          <w:rFonts w:ascii="Times New Roman" w:hAnsi="Times New Roman" w:cs="Times New Roman"/>
          <w:color w:val="000000" w:themeColor="text1"/>
          <w:sz w:val="24"/>
          <w:szCs w:val="24"/>
        </w:rPr>
      </w:pPr>
    </w:p>
    <w:p>
      <w:pPr>
        <w:spacing w:line="500" w:lineRule="exact"/>
        <w:ind w:firstLine="480" w:firstLineChars="200"/>
        <w:rPr>
          <w:rFonts w:ascii="Times New Roman" w:hAnsi="Times New Roman" w:cs="Times New Roman"/>
          <w:color w:val="000000" w:themeColor="text1"/>
          <w:sz w:val="24"/>
          <w:szCs w:val="24"/>
        </w:rPr>
      </w:pPr>
    </w:p>
    <w:p>
      <w:pPr>
        <w:spacing w:line="500" w:lineRule="exact"/>
        <w:ind w:firstLine="480" w:firstLineChars="200"/>
        <w:rPr>
          <w:rFonts w:ascii="Times New Roman" w:hAnsi="Times New Roman" w:cs="Times New Roman"/>
          <w:color w:val="000000" w:themeColor="text1"/>
          <w:sz w:val="24"/>
          <w:szCs w:val="24"/>
        </w:rPr>
      </w:pP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由上表可知，项目汽油</w:t>
      </w:r>
      <w:r>
        <w:rPr>
          <w:rFonts w:hint="eastAsia" w:ascii="Times New Roman" w:hAnsi="Times New Roman" w:cs="Times New Roman"/>
          <w:color w:val="000000" w:themeColor="text1"/>
          <w:sz w:val="24"/>
          <w:szCs w:val="24"/>
        </w:rPr>
        <w:t>和柴油</w:t>
      </w:r>
      <w:r>
        <w:rPr>
          <w:rFonts w:ascii="Times New Roman" w:hAnsi="Times New Roman" w:cs="Times New Roman"/>
          <w:color w:val="000000" w:themeColor="text1"/>
          <w:sz w:val="24"/>
          <w:szCs w:val="24"/>
        </w:rPr>
        <w:t>储存量</w:t>
      </w:r>
      <w:r>
        <w:rPr>
          <w:rFonts w:hint="eastAsia" w:ascii="Times New Roman" w:hAnsi="Times New Roman" w:cs="Times New Roman"/>
          <w:color w:val="000000" w:themeColor="text1"/>
          <w:sz w:val="24"/>
          <w:szCs w:val="24"/>
        </w:rPr>
        <w:t>根据</w:t>
      </w:r>
      <w:r>
        <w:rPr>
          <w:rFonts w:ascii="Times New Roman" w:hAnsi="Times New Roman" w:cs="Times New Roman"/>
          <w:color w:val="000000" w:themeColor="text1"/>
          <w:sz w:val="24"/>
          <w:szCs w:val="24"/>
        </w:rPr>
        <w:t>《危险化学品重大危险源辨识》（GB18218—2018）中</w:t>
      </w:r>
      <w:r>
        <w:rPr>
          <w:rFonts w:hint="eastAsia" w:ascii="Times New Roman" w:hAnsi="Times New Roman" w:cs="Times New Roman"/>
          <w:color w:val="000000" w:themeColor="text1"/>
          <w:sz w:val="24"/>
          <w:szCs w:val="24"/>
        </w:rPr>
        <w:t>的</w:t>
      </w:r>
      <w:r>
        <w:rPr>
          <w:rFonts w:ascii="Times New Roman" w:hAnsi="Times New Roman" w:cs="Times New Roman"/>
          <w:color w:val="000000" w:themeColor="text1"/>
          <w:sz w:val="24"/>
          <w:szCs w:val="24"/>
        </w:rPr>
        <w:t>规定</w:t>
      </w:r>
      <w:r>
        <w:rPr>
          <w:rFonts w:hint="eastAsia"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判定值=0.</w:t>
      </w:r>
      <w:r>
        <w:rPr>
          <w:rFonts w:hint="eastAsia" w:ascii="Times New Roman" w:hAnsi="Times New Roman" w:cs="Times New Roman"/>
          <w:color w:val="000000" w:themeColor="text1"/>
          <w:sz w:val="24"/>
          <w:szCs w:val="24"/>
          <w:lang w:val="en-US" w:eastAsia="zh-CN"/>
        </w:rPr>
        <w:t>295</w:t>
      </w:r>
      <w:r>
        <w:rPr>
          <w:rFonts w:ascii="Times New Roman" w:hAnsi="Times New Roman" w:cs="Times New Roman"/>
          <w:color w:val="000000" w:themeColor="text1"/>
          <w:sz w:val="24"/>
          <w:szCs w:val="24"/>
        </w:rPr>
        <w:t>&lt;1。因此，项目经营过程中储存场所涉及到的危险化学品不构成危险化学品重大危险源。</w:t>
      </w:r>
    </w:p>
    <w:p>
      <w:pPr>
        <w:keepNext/>
        <w:keepLines/>
        <w:spacing w:beforeLines="100" w:afterLines="100" w:line="500" w:lineRule="exact"/>
        <w:jc w:val="left"/>
        <w:outlineLvl w:val="1"/>
        <w:rPr>
          <w:rFonts w:ascii="Times New Roman" w:hAnsi="Times New Roman" w:cs="Times New Roman"/>
          <w:b/>
          <w:bCs/>
          <w:color w:val="000000" w:themeColor="text1"/>
          <w:kern w:val="44"/>
          <w:sz w:val="24"/>
          <w:szCs w:val="24"/>
        </w:rPr>
      </w:pPr>
      <w:bookmarkStart w:id="282" w:name="_Toc23908"/>
      <w:r>
        <w:rPr>
          <w:rFonts w:ascii="Times New Roman" w:hAnsi="Times New Roman" w:cs="Times New Roman"/>
          <w:b/>
          <w:bCs/>
          <w:color w:val="000000" w:themeColor="text1"/>
          <w:kern w:val="44"/>
          <w:sz w:val="24"/>
          <w:szCs w:val="24"/>
        </w:rPr>
        <w:t>3.2 环境风险分析</w:t>
      </w:r>
      <w:bookmarkEnd w:id="275"/>
      <w:bookmarkEnd w:id="276"/>
      <w:bookmarkEnd w:id="277"/>
      <w:bookmarkEnd w:id="278"/>
      <w:bookmarkEnd w:id="279"/>
      <w:bookmarkEnd w:id="280"/>
      <w:bookmarkEnd w:id="281"/>
      <w:bookmarkEnd w:id="282"/>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本项目风险主要考虑汽油的风险分析。</w:t>
      </w:r>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283" w:name="_Toc12429_WPSOffice_Level3"/>
      <w:bookmarkStart w:id="284" w:name="_Toc12462_WPSOffice_Level3"/>
      <w:bookmarkStart w:id="285" w:name="_Toc6097"/>
      <w:bookmarkStart w:id="286" w:name="_Toc8889_WPSOffice_Level3"/>
      <w:bookmarkStart w:id="287" w:name="_Toc532817029"/>
      <w:bookmarkStart w:id="288" w:name="_Toc6108_WPSOffice_Level3"/>
      <w:bookmarkStart w:id="289" w:name="_Toc653_WPSOffice_Level3"/>
      <w:bookmarkStart w:id="290" w:name="_Toc23410"/>
      <w:r>
        <w:rPr>
          <w:rFonts w:ascii="Times New Roman" w:hAnsi="Times New Roman" w:cs="Times New Roman"/>
          <w:b/>
          <w:bCs/>
          <w:color w:val="000000" w:themeColor="text1"/>
          <w:kern w:val="44"/>
          <w:sz w:val="24"/>
          <w:szCs w:val="24"/>
        </w:rPr>
        <w:t>3.2.1 火灾、爆炸</w:t>
      </w:r>
      <w:bookmarkEnd w:id="283"/>
      <w:bookmarkEnd w:id="284"/>
      <w:bookmarkEnd w:id="285"/>
      <w:bookmarkEnd w:id="286"/>
      <w:bookmarkEnd w:id="287"/>
      <w:bookmarkEnd w:id="288"/>
      <w:bookmarkEnd w:id="289"/>
      <w:bookmarkEnd w:id="290"/>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汽油属易燃、易爆液体，如果在储存、输送过程发生跑、冒、滴、漏，卸油过程中如果静电接地不好或管线、接头等有渗漏，加油过程加油设备及管线出现故障或加油过程操作不当等会引起油料泄漏，油料蒸发出来的可燃气体在一定的浓度范围内，能够与空气形成爆炸性混合物，遇明火、静电及高温或与氧化剂接触等易引起燃烧或爆炸；同时其蒸汽比空气重，能在较低处扩散到相当远的地方，遇明火会引着回燃，也会造成火灾爆炸事故。</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发生火灾、爆炸时对区域环境空气会造成影响，火灾、爆炸后产生的消防废水如不及时收集，流入周围地表水体会污染地表水。</w:t>
      </w:r>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291" w:name="_Toc15303"/>
      <w:bookmarkStart w:id="292" w:name="_Toc25268_WPSOffice_Level3"/>
      <w:bookmarkStart w:id="293" w:name="_Toc14635_WPSOffice_Level3"/>
      <w:bookmarkStart w:id="294" w:name="_Toc582_WPSOffice_Level3"/>
      <w:bookmarkStart w:id="295" w:name="_Toc14340_WPSOffice_Level3"/>
      <w:bookmarkStart w:id="296" w:name="_Toc28061_WPSOffice_Level3"/>
      <w:bookmarkStart w:id="297" w:name="_Toc532817030"/>
      <w:bookmarkStart w:id="298" w:name="_Toc24077"/>
      <w:r>
        <w:rPr>
          <w:rFonts w:ascii="Times New Roman" w:hAnsi="Times New Roman" w:cs="Times New Roman"/>
          <w:b/>
          <w:bCs/>
          <w:color w:val="000000" w:themeColor="text1"/>
          <w:kern w:val="44"/>
          <w:sz w:val="24"/>
          <w:szCs w:val="24"/>
        </w:rPr>
        <w:t>3.2.2 静电</w:t>
      </w:r>
      <w:bookmarkEnd w:id="291"/>
      <w:bookmarkEnd w:id="292"/>
      <w:bookmarkEnd w:id="293"/>
      <w:bookmarkEnd w:id="294"/>
      <w:bookmarkEnd w:id="295"/>
      <w:bookmarkEnd w:id="296"/>
      <w:bookmarkEnd w:id="297"/>
      <w:bookmarkEnd w:id="298"/>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汽油的电阻率大约在10Ω·CM，当汽油沿管道流动与管壁产生摩擦时，以及在运输过程中收到震荡时，都会产生静电。如果静电不能及时消除就有可能产生火花。当满足一定条件时，静电火花可以引发火灾爆炸。静电引发火灾爆炸必须同时满足下列五个条件：必须有产生静电的条件；必须具有静电积累的条件；积累的静电必须达到产生火花放电的条件；静电放电火花波及的范围必须存在爆炸性气体；与爆炸性气体接触的静电火花必须达到爆炸性气体的最小点火能量。</w:t>
      </w:r>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299" w:name="_Toc532817031"/>
      <w:bookmarkStart w:id="300" w:name="_Toc7502_WPSOffice_Level3"/>
      <w:bookmarkStart w:id="301" w:name="_Toc13494_WPSOffice_Level3"/>
      <w:bookmarkStart w:id="302" w:name="_Toc8749_WPSOffice_Level3"/>
      <w:bookmarkStart w:id="303" w:name="_Toc3517"/>
      <w:bookmarkStart w:id="304" w:name="_Toc3479_WPSOffice_Level3"/>
      <w:bookmarkStart w:id="305" w:name="_Toc1118"/>
      <w:bookmarkStart w:id="306" w:name="_Toc17783_WPSOffice_Level3"/>
      <w:r>
        <w:rPr>
          <w:rFonts w:ascii="Times New Roman" w:hAnsi="Times New Roman" w:cs="Times New Roman"/>
          <w:b/>
          <w:bCs/>
          <w:color w:val="000000" w:themeColor="text1"/>
          <w:kern w:val="44"/>
          <w:sz w:val="24"/>
          <w:szCs w:val="24"/>
        </w:rPr>
        <w:t>3.2.3 中毒</w:t>
      </w:r>
      <w:bookmarkEnd w:id="299"/>
      <w:bookmarkEnd w:id="300"/>
      <w:bookmarkEnd w:id="301"/>
      <w:bookmarkEnd w:id="302"/>
      <w:bookmarkEnd w:id="303"/>
      <w:bookmarkEnd w:id="304"/>
      <w:bookmarkEnd w:id="305"/>
      <w:bookmarkEnd w:id="306"/>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加油站主要的毒性物质为汽油，其毒性危害如下：汽油对中枢神经系统有麻醉作用。轻度中毒症状有头晕、头痛、恶心、呕吐、步态不稳等。高浓度吸入出现中毒性脑病。极高浓度吸入引起意识突然丧失、反射性呼吸停止。液体吸入呼吸道可引起吸入性皮炎。溅入眼内可致角膜溃疡、穿孔，甚至失明。皮肤接触致急性接触性皮炎，甚至灼伤。</w:t>
      </w:r>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307" w:name="_Toc532817032"/>
      <w:bookmarkStart w:id="308" w:name="_Toc24762_WPSOffice_Level3"/>
      <w:bookmarkStart w:id="309" w:name="_Toc20621"/>
      <w:bookmarkStart w:id="310" w:name="_Toc1167_WPSOffice_Level3"/>
      <w:bookmarkStart w:id="311" w:name="_Toc4640_WPSOffice_Level3"/>
      <w:bookmarkStart w:id="312" w:name="_Toc9965_WPSOffice_Level3"/>
      <w:bookmarkStart w:id="313" w:name="_Toc30633"/>
      <w:bookmarkStart w:id="314" w:name="_Toc28984_WPSOffice_Level3"/>
      <w:r>
        <w:rPr>
          <w:rFonts w:ascii="Times New Roman" w:hAnsi="Times New Roman" w:cs="Times New Roman"/>
          <w:b/>
          <w:bCs/>
          <w:color w:val="000000" w:themeColor="text1"/>
          <w:kern w:val="44"/>
          <w:sz w:val="24"/>
          <w:szCs w:val="24"/>
        </w:rPr>
        <w:t>3.2.4 加油站作业风险分析</w:t>
      </w:r>
      <w:bookmarkEnd w:id="307"/>
      <w:bookmarkEnd w:id="308"/>
      <w:bookmarkEnd w:id="309"/>
      <w:bookmarkEnd w:id="310"/>
      <w:bookmarkEnd w:id="311"/>
      <w:bookmarkEnd w:id="312"/>
      <w:bookmarkEnd w:id="313"/>
      <w:bookmarkEnd w:id="314"/>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作业事故主要发生在卸油、量油、加油、维修和清罐五个环节，这五个环节都使油品暴露在空气中，如果在作业中违反操作规程，使油品或油品蒸气在空气中与火源接触，就可能导致爆炸燃烧事故的发生。</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（1）卸油</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加油站火灾事故的60%~70%发生在卸油作业中。常见事故有：</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油罐满溢。卸油时对液位监测不及时易造成油品跑冒。油品溢出罐外后，周围空气中油蒸气的浓度迅速上升，达到爆炸极限范围，遇到点火源，随即可能发生爆炸燃烧。在油品漫溢时，使用金属容器刮舀，开启电灯照明观察，均可能产生火花引起着火。</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油品滴漏。由于卸油胶管破裂、密封垫破损、快速接头、紧固栓松动等原因，使油品滴漏至地面，遇火花可能燃烧。</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静电起火。由于油管无静电接地、采用喷溅式卸油、卸油中油罐车无静电接地等原因，造成静电积聚放电，点燃油蒸气。</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卸油中遇明火。在非密闭卸油过程中，大量油蒸气从卸油口溢出，当周围出现烟火、火花时，就可能产生爆炸燃烧。</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混油。由于计量员和司机未按操作规程核实所卸油品品种、卸油口等，造成混油的质量事故。</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（2）量油</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按规定，油罐车送油到站后应静置稳油15分钟，待静电消除后方可开盖量油，如果车到立即开盖量油，就可能引起静电起火；如果油罐未安装量油孔或量油孔铝制（铜质）镶槽脱落，在储油量油时，量油尺与钢管口摩擦产生火花，就可能点燃罐内油蒸气，引起爆炸燃烧；在气压低、无风得情况下，穿化纤服装，摩擦产生静电火花也可能点燃油蒸气。</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（3）加油</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目前国内大部分加油站未采用封闭加油技术，加油时，大量油蒸气外泻，加之操作不当油品外溢等原因，在加油口附近形成了一个爆炸危险区域，遇烟火、使用手机或BP机、铁钉鞋摩擦、金属碰撞、电器打火、发动机排气管喷火等都可能导致火灾。</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（4）维修</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维修作业时由于维修人员不遵守操作规程，常常引起触电、高处坠落等安全事故，甚至引起火灾爆炸。</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（5）清罐</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在加油站油罐清洗作业时，由于无法彻底清除油蒸气和沉淀物，残余油蒸气遇到静电、摩擦、点火花都可能导致火灾。</w:t>
      </w:r>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315" w:name="_Toc21319_WPSOffice_Level3"/>
      <w:bookmarkStart w:id="316" w:name="_Toc532817033"/>
      <w:bookmarkStart w:id="317" w:name="_Toc1450_WPSOffice_Level3"/>
      <w:bookmarkStart w:id="318" w:name="_Toc25708_WPSOffice_Level3"/>
      <w:bookmarkStart w:id="319" w:name="_Toc24487_WPSOffice_Level3"/>
      <w:bookmarkStart w:id="320" w:name="_Toc28682"/>
      <w:bookmarkStart w:id="321" w:name="_Toc26583_WPSOffice_Level3"/>
      <w:bookmarkStart w:id="322" w:name="_Toc12399"/>
      <w:r>
        <w:rPr>
          <w:rFonts w:ascii="Times New Roman" w:hAnsi="Times New Roman" w:cs="Times New Roman"/>
          <w:b/>
          <w:bCs/>
          <w:color w:val="000000" w:themeColor="text1"/>
          <w:kern w:val="44"/>
          <w:sz w:val="24"/>
          <w:szCs w:val="24"/>
        </w:rPr>
        <w:t>3.2.5 非作业事故分析</w:t>
      </w:r>
      <w:bookmarkEnd w:id="315"/>
      <w:bookmarkEnd w:id="316"/>
      <w:bookmarkEnd w:id="317"/>
      <w:bookmarkEnd w:id="318"/>
      <w:bookmarkEnd w:id="319"/>
      <w:bookmarkEnd w:id="320"/>
      <w:bookmarkEnd w:id="321"/>
      <w:bookmarkEnd w:id="322"/>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加油站非作业事故又可分为与油品相关的火灾和非油品火灾。</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（1）与油品相关的火灾</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油蒸气沉淀。在作业过程中，会有大量油蒸气外泄，由于油蒸气密度比空气大，会沉淀于管沟、电缆沟、操作井等低洼处，积聚于室内角落处，一旦遇到火源就可能发生爆炸燃烧。油蒸气四处蔓延把加油站和作业区内外沟通起来，将站外火源引至站内，可能造成爆炸燃烧。</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油罐、管道渗漏。由于腐蚀、制造缺陷等原因，在非作业状态下，油品渗漏，遇明火可能燃烧。</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雷击。雷电直接击中加油设施，或者雷电作用在加油机等处产生间接放电，都可能导致油品燃烧或油气爆炸。</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（2）非油品火灾</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常见非油品火灾有：因电气老化、绝缘破损、短路、超负荷用电、过载发热、接线不规范、电器使用管理不当等原因引起的电气火灾；因生产、生活用火失控，引燃站外火灾蔓延，殃及站内，明火管理不当引起火灾。</w:t>
      </w:r>
    </w:p>
    <w:p>
      <w:pPr>
        <w:keepNext/>
        <w:keepLines/>
        <w:spacing w:beforeLines="100" w:afterLines="100" w:line="500" w:lineRule="exact"/>
        <w:jc w:val="left"/>
        <w:outlineLvl w:val="1"/>
        <w:rPr>
          <w:rFonts w:ascii="Times New Roman" w:hAnsi="Times New Roman" w:cs="Times New Roman"/>
          <w:b/>
          <w:bCs/>
          <w:color w:val="000000" w:themeColor="text1"/>
          <w:kern w:val="44"/>
          <w:sz w:val="24"/>
          <w:szCs w:val="24"/>
        </w:rPr>
      </w:pPr>
      <w:bookmarkStart w:id="323" w:name="_Toc18826_WPSOffice_Level2"/>
      <w:bookmarkStart w:id="324" w:name="_Toc23210_WPSOffice_Level2"/>
      <w:bookmarkStart w:id="325" w:name="_Toc32434_WPSOffice_Level2"/>
      <w:bookmarkStart w:id="326" w:name="_Toc532817034"/>
      <w:bookmarkStart w:id="327" w:name="_Toc3286_WPSOffice_Level2"/>
      <w:bookmarkStart w:id="328" w:name="_Toc7088_WPSOffice_Level2"/>
      <w:bookmarkStart w:id="329" w:name="_Toc8365"/>
      <w:bookmarkStart w:id="330" w:name="_Toc105"/>
      <w:bookmarkStart w:id="331" w:name="_Toc289"/>
      <w:r>
        <w:rPr>
          <w:rFonts w:ascii="Times New Roman" w:hAnsi="Times New Roman" w:cs="Times New Roman"/>
          <w:b/>
          <w:bCs/>
          <w:color w:val="000000" w:themeColor="text1"/>
          <w:kern w:val="44"/>
          <w:sz w:val="24"/>
          <w:szCs w:val="24"/>
        </w:rPr>
        <w:t>3.3风险事故环境影响评价</w:t>
      </w:r>
      <w:bookmarkEnd w:id="323"/>
      <w:bookmarkEnd w:id="324"/>
      <w:bookmarkEnd w:id="325"/>
      <w:bookmarkEnd w:id="326"/>
      <w:bookmarkEnd w:id="327"/>
      <w:bookmarkEnd w:id="328"/>
      <w:bookmarkEnd w:id="329"/>
      <w:bookmarkEnd w:id="330"/>
      <w:bookmarkEnd w:id="331"/>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332" w:name="_Toc10518_WPSOffice_Level3"/>
      <w:bookmarkStart w:id="333" w:name="_Toc24052_WPSOffice_Level3"/>
      <w:bookmarkStart w:id="334" w:name="_Toc23210_WPSOffice_Level3"/>
      <w:bookmarkStart w:id="335" w:name="_Toc19489"/>
      <w:bookmarkStart w:id="336" w:name="_Toc17836"/>
      <w:bookmarkStart w:id="337" w:name="_Toc22957_WPSOffice_Level3"/>
      <w:bookmarkStart w:id="338" w:name="_Toc27962_WPSOffice_Level3"/>
      <w:bookmarkStart w:id="339" w:name="_Toc532817035"/>
      <w:bookmarkStart w:id="340" w:name="OLE_LINK8"/>
      <w:r>
        <w:rPr>
          <w:rFonts w:ascii="Times New Roman" w:hAnsi="Times New Roman" w:cs="Times New Roman"/>
          <w:b/>
          <w:bCs/>
          <w:color w:val="000000" w:themeColor="text1"/>
          <w:kern w:val="44"/>
          <w:sz w:val="24"/>
          <w:szCs w:val="24"/>
        </w:rPr>
        <w:t>3.3.1油品泄漏引起的环境污染事故</w:t>
      </w:r>
      <w:bookmarkEnd w:id="332"/>
      <w:bookmarkEnd w:id="333"/>
      <w:bookmarkEnd w:id="334"/>
      <w:bookmarkEnd w:id="335"/>
      <w:bookmarkEnd w:id="336"/>
      <w:bookmarkEnd w:id="337"/>
      <w:bookmarkEnd w:id="338"/>
      <w:bookmarkEnd w:id="339"/>
    </w:p>
    <w:p>
      <w:pPr>
        <w:spacing w:line="360" w:lineRule="auto"/>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1、事故类型</w:t>
      </w:r>
    </w:p>
    <w:p>
      <w:pPr>
        <w:spacing w:line="360" w:lineRule="auto"/>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本加油站可能发生的事故主要有储油罐破损油品渗漏引起土壤及地下水的污染；输油管线发生意外事故或工人操作失误时产生的泄漏以及由此引起的火灾及爆炸对人身安全及周围环境产生的危害。根据风险识别，本加油站主要存在的事故类型有：</w:t>
      </w:r>
    </w:p>
    <w:p>
      <w:pPr>
        <w:spacing w:line="360" w:lineRule="auto"/>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a、储罐破损油品渗漏引起土壤及地下水的污染；</w:t>
      </w:r>
    </w:p>
    <w:p>
      <w:pPr>
        <w:spacing w:line="360" w:lineRule="auto"/>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b、储油区油品溢出或泄漏后遇明火发生火灾、爆炸事故，从而引起对周边环境空气和地表水环境影响；</w:t>
      </w:r>
    </w:p>
    <w:p>
      <w:pPr>
        <w:spacing w:line="360" w:lineRule="auto"/>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2、事故原因</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（1）储油罐体泄露原因分析</w:t>
      </w:r>
    </w:p>
    <w:p>
      <w:pPr>
        <w:spacing w:line="360" w:lineRule="auto"/>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①</w:t>
      </w:r>
      <w:r>
        <w:rPr>
          <w:rFonts w:ascii="Times New Roman" w:hAnsi="Times New Roman" w:cs="Times New Roman"/>
          <w:color w:val="000000" w:themeColor="text1"/>
          <w:sz w:val="24"/>
          <w:szCs w:val="24"/>
        </w:rPr>
        <w:t>由于年限较长，储油罐体管壁腐蚀，致使油类泄漏；</w:t>
      </w:r>
    </w:p>
    <w:p>
      <w:pPr>
        <w:spacing w:line="360" w:lineRule="auto"/>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②</w:t>
      </w:r>
      <w:r>
        <w:rPr>
          <w:rFonts w:ascii="Times New Roman" w:hAnsi="Times New Roman" w:cs="Times New Roman"/>
          <w:color w:val="000000" w:themeColor="text1"/>
          <w:sz w:val="24"/>
          <w:szCs w:val="24"/>
        </w:rPr>
        <w:t>在加油过程中，由于操作失误，致使油类泄漏；</w:t>
      </w:r>
    </w:p>
    <w:p>
      <w:pPr>
        <w:spacing w:line="360" w:lineRule="auto"/>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③</w:t>
      </w:r>
      <w:r>
        <w:rPr>
          <w:rFonts w:ascii="Times New Roman" w:hAnsi="Times New Roman" w:cs="Times New Roman"/>
          <w:color w:val="000000" w:themeColor="text1"/>
          <w:sz w:val="24"/>
          <w:szCs w:val="24"/>
        </w:rPr>
        <w:t>各个管道接口不严，跑、冒、滴、漏现象的发生。</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（2）储油罐体溢出原因分析</w:t>
      </w:r>
    </w:p>
    <w:p>
      <w:pPr>
        <w:spacing w:line="360" w:lineRule="auto"/>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①</w:t>
      </w:r>
      <w:bookmarkStart w:id="341" w:name="_Toc219195846"/>
      <w:r>
        <w:rPr>
          <w:rFonts w:ascii="Times New Roman" w:hAnsi="Times New Roman" w:cs="Times New Roman"/>
          <w:color w:val="000000" w:themeColor="text1"/>
          <w:sz w:val="24"/>
          <w:szCs w:val="24"/>
        </w:rPr>
        <w:t>储油罐计量仪表失灵，至使储油罐加油过程中灌满溢出；</w:t>
      </w:r>
      <w:bookmarkEnd w:id="341"/>
    </w:p>
    <w:p>
      <w:pPr>
        <w:spacing w:line="360" w:lineRule="auto"/>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②</w:t>
      </w:r>
      <w:r>
        <w:rPr>
          <w:rFonts w:ascii="Times New Roman" w:hAnsi="Times New Roman" w:cs="Times New Roman"/>
          <w:color w:val="000000" w:themeColor="text1"/>
          <w:sz w:val="24"/>
          <w:szCs w:val="24"/>
        </w:rPr>
        <w:t>为储油罐加油过程中，由于存在气障、气阻，至使油类溢出；</w:t>
      </w:r>
    </w:p>
    <w:p>
      <w:pPr>
        <w:spacing w:line="360" w:lineRule="auto"/>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③</w:t>
      </w:r>
      <w:r>
        <w:rPr>
          <w:rFonts w:ascii="Times New Roman" w:hAnsi="Times New Roman" w:cs="Times New Roman"/>
          <w:color w:val="000000" w:themeColor="text1"/>
          <w:sz w:val="24"/>
          <w:szCs w:val="24"/>
        </w:rPr>
        <w:t>在加油过程中，由于接口不同，衔接不严密，致使油类溢出。</w:t>
      </w:r>
    </w:p>
    <w:p>
      <w:pPr>
        <w:spacing w:line="360" w:lineRule="auto"/>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rPr>
        <w:t>项目在储罐区设置有检查井，加油站每天安排专人对项目区内油罐区进行检查，当地埋油罐发生泄漏时，采取倒罐或移库的方式将泄漏油罐油品转移；当发现油罐区和加油区发生油品泄漏时，设置围堰，用干消防沙对泄漏油品进行吸附回收，当泄漏量较大时用防爆油泵等器材回收。通过采取相应措施后油品泄露对地下水环</w:t>
      </w:r>
      <w:r>
        <w:rPr>
          <w:rFonts w:ascii="Times New Roman" w:hAnsi="Times New Roman" w:cs="Times New Roman"/>
          <w:color w:val="000000" w:themeColor="text1"/>
          <w:sz w:val="24"/>
          <w:szCs w:val="24"/>
          <w:lang w:val="zh-CN"/>
        </w:rPr>
        <w:t>境及土壤环境影响不大。</w:t>
      </w:r>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342" w:name="_Toc18819"/>
      <w:bookmarkStart w:id="343" w:name="_Toc10364_WPSOffice_Level3"/>
      <w:bookmarkStart w:id="344" w:name="_Toc5613_WPSOffice_Level3"/>
      <w:bookmarkStart w:id="345" w:name="_Toc8330_WPSOffice_Level3"/>
      <w:bookmarkStart w:id="346" w:name="_Toc3502_WPSOffice_Level3"/>
      <w:bookmarkStart w:id="347" w:name="_Toc532817036"/>
      <w:bookmarkStart w:id="348" w:name="_Toc25912"/>
      <w:bookmarkStart w:id="349" w:name="_Toc22532_WPSOffice_Level3"/>
      <w:r>
        <w:rPr>
          <w:rFonts w:ascii="Times New Roman" w:hAnsi="Times New Roman" w:cs="Times New Roman"/>
          <w:b/>
          <w:bCs/>
          <w:color w:val="000000" w:themeColor="text1"/>
          <w:kern w:val="44"/>
          <w:sz w:val="24"/>
          <w:szCs w:val="24"/>
        </w:rPr>
        <w:t>3.3.2 火灾、爆炸事故环境影响</w:t>
      </w:r>
      <w:bookmarkEnd w:id="342"/>
      <w:bookmarkEnd w:id="343"/>
      <w:bookmarkEnd w:id="344"/>
      <w:bookmarkEnd w:id="345"/>
      <w:bookmarkEnd w:id="346"/>
      <w:bookmarkEnd w:id="347"/>
      <w:bookmarkEnd w:id="348"/>
      <w:bookmarkEnd w:id="349"/>
    </w:p>
    <w:p>
      <w:pPr>
        <w:spacing w:line="360" w:lineRule="auto"/>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储油区油品溢出或泄漏后遇明火发生火灾、爆炸事故，从而引起对周边环境空气和地表水环境影响。</w:t>
      </w:r>
    </w:p>
    <w:p>
      <w:pPr>
        <w:spacing w:line="50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火灾、爆炸事故原因分析：</w:t>
      </w:r>
    </w:p>
    <w:p>
      <w:pPr>
        <w:spacing w:line="360" w:lineRule="auto"/>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①</w:t>
      </w:r>
      <w:r>
        <w:rPr>
          <w:rFonts w:ascii="Times New Roman" w:hAnsi="Times New Roman" w:cs="Times New Roman"/>
          <w:color w:val="000000" w:themeColor="text1"/>
          <w:sz w:val="24"/>
          <w:szCs w:val="24"/>
        </w:rPr>
        <w:t>由于加油作业人员操作不当，其他人员不能遵守加油站的相关规定，导致油品发生火灾或爆炸事故；</w:t>
      </w:r>
    </w:p>
    <w:p>
      <w:pPr>
        <w:spacing w:line="360" w:lineRule="auto"/>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②</w:t>
      </w:r>
      <w:r>
        <w:rPr>
          <w:rFonts w:ascii="Times New Roman" w:hAnsi="Times New Roman" w:cs="Times New Roman"/>
          <w:color w:val="000000" w:themeColor="text1"/>
          <w:sz w:val="24"/>
          <w:szCs w:val="24"/>
        </w:rPr>
        <w:t>由于跑、冒、滴、漏等造成加油站局部空气周围汽油密度较大，达到爆炸极限，遇火源可能产生的事故；</w:t>
      </w:r>
    </w:p>
    <w:p>
      <w:pPr>
        <w:spacing w:line="360" w:lineRule="auto"/>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③</w:t>
      </w:r>
      <w:r>
        <w:rPr>
          <w:rFonts w:ascii="Times New Roman" w:hAnsi="Times New Roman" w:cs="Times New Roman"/>
          <w:color w:val="000000" w:themeColor="text1"/>
          <w:sz w:val="24"/>
          <w:szCs w:val="24"/>
        </w:rPr>
        <w:t>由于避雷系统缺陷产生的雷击火花，造成油品发生火灾或爆炸事故。</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加油站油品发生火灾或爆炸后，汽油燃烧会产生NOx、CO等，呈无组织排放，造成周边环境空气污染。由于站区面积不大，当发生事故时，通过及时采取灭火措施后，火灾情况可以得到有效的控制，火灾产生的废气将得到有效的控制，对周边环境影响不大。</w:t>
      </w:r>
      <w:bookmarkEnd w:id="340"/>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350" w:name="_Toc19438"/>
      <w:bookmarkStart w:id="351" w:name="_Toc21297_WPSOffice_Level3"/>
      <w:bookmarkStart w:id="352" w:name="_Toc19979_WPSOffice_Level3"/>
      <w:bookmarkStart w:id="353" w:name="_Toc27302"/>
      <w:bookmarkStart w:id="354" w:name="_Toc532817037"/>
      <w:bookmarkStart w:id="355" w:name="_Toc8032_WPSOffice_Level3"/>
      <w:bookmarkStart w:id="356" w:name="_Toc21341_WPSOffice_Level3"/>
      <w:bookmarkStart w:id="357" w:name="_Toc27543_WPSOffice_Level3"/>
      <w:r>
        <w:rPr>
          <w:rFonts w:ascii="Times New Roman" w:hAnsi="Times New Roman" w:cs="Times New Roman"/>
          <w:b/>
          <w:bCs/>
          <w:color w:val="000000" w:themeColor="text1"/>
          <w:kern w:val="44"/>
          <w:sz w:val="24"/>
          <w:szCs w:val="24"/>
        </w:rPr>
        <w:t>3.3.3小结</w:t>
      </w:r>
      <w:bookmarkEnd w:id="350"/>
      <w:bookmarkEnd w:id="351"/>
      <w:bookmarkEnd w:id="352"/>
      <w:bookmarkEnd w:id="353"/>
      <w:bookmarkEnd w:id="354"/>
      <w:bookmarkEnd w:id="355"/>
      <w:bookmarkEnd w:id="356"/>
      <w:bookmarkEnd w:id="357"/>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根据各类突发环境事件情景及源强分析，从地表水、地下水、土壤、大气、人口及至社会等方面考虑，中国</w:t>
      </w:r>
      <w:r>
        <w:rPr>
          <w:rFonts w:hint="eastAsia" w:ascii="Times New Roman" w:hAnsi="Times New Roman" w:cs="Times New Roman"/>
          <w:color w:val="000000" w:themeColor="text1"/>
          <w:sz w:val="24"/>
          <w:szCs w:val="24"/>
          <w:lang w:val="en-US" w:eastAsia="zh-CN"/>
        </w:rPr>
        <w:t>石油天然气</w:t>
      </w:r>
      <w:r>
        <w:rPr>
          <w:rFonts w:ascii="Times New Roman" w:hAnsi="Times New Roman" w:cs="Times New Roman"/>
          <w:color w:val="000000" w:themeColor="text1"/>
          <w:sz w:val="24"/>
          <w:szCs w:val="24"/>
        </w:rPr>
        <w:t>股份有限公司江西南昌</w:t>
      </w:r>
      <w:r>
        <w:rPr>
          <w:rFonts w:hint="eastAsia" w:ascii="Times New Roman" w:hAnsi="Times New Roman" w:cs="Times New Roman"/>
          <w:color w:val="000000" w:themeColor="text1"/>
          <w:sz w:val="24"/>
          <w:szCs w:val="24"/>
          <w:lang w:val="en-US" w:eastAsia="zh-CN"/>
        </w:rPr>
        <w:t>双港大道</w:t>
      </w:r>
      <w:r>
        <w:rPr>
          <w:rFonts w:ascii="Times New Roman" w:hAnsi="Times New Roman" w:cs="Times New Roman"/>
          <w:color w:val="000000" w:themeColor="text1"/>
          <w:sz w:val="24"/>
          <w:szCs w:val="24"/>
        </w:rPr>
        <w:t>加油站发生突发环境事件时可能产生的后果及其环境影响如下表3-5：</w:t>
      </w:r>
    </w:p>
    <w:p>
      <w:pPr>
        <w:widowControl/>
        <w:autoSpaceDE w:val="0"/>
        <w:autoSpaceDN w:val="0"/>
        <w:jc w:val="center"/>
        <w:rPr>
          <w:rFonts w:ascii="Times New Roman" w:hAnsi="Times New Roman" w:cs="Times New Roman"/>
          <w:b/>
          <w:color w:val="000000" w:themeColor="text1"/>
          <w:kern w:val="0"/>
          <w:szCs w:val="21"/>
        </w:rPr>
      </w:pPr>
      <w:r>
        <w:rPr>
          <w:rFonts w:ascii="Times New Roman" w:hAnsi="Times New Roman" w:cs="Times New Roman"/>
          <w:b/>
          <w:color w:val="000000" w:themeColor="text1"/>
          <w:kern w:val="0"/>
          <w:szCs w:val="21"/>
        </w:rPr>
        <w:t>表3-5 各类突发环境事件可能产生的后果及其环境影响汇总表</w:t>
      </w:r>
    </w:p>
    <w:tbl>
      <w:tblPr>
        <w:tblStyle w:val="14"/>
        <w:tblW w:w="100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1134"/>
        <w:gridCol w:w="6036"/>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blHeader/>
          <w:jc w:val="center"/>
        </w:trPr>
        <w:tc>
          <w:tcPr>
            <w:tcW w:w="1413" w:type="dxa"/>
            <w:vAlign w:val="center"/>
          </w:tcPr>
          <w:p>
            <w:pPr>
              <w:jc w:val="center"/>
              <w:rPr>
                <w:rFonts w:ascii="Times New Roman" w:hAnsi="Times New Roman" w:cs="Times New Roman"/>
                <w:b/>
                <w:color w:val="000000" w:themeColor="text1"/>
                <w:szCs w:val="21"/>
              </w:rPr>
            </w:pPr>
            <w:r>
              <w:rPr>
                <w:rFonts w:ascii="Times New Roman" w:hAnsi="Times New Roman" w:cs="Times New Roman"/>
                <w:b/>
                <w:color w:val="000000" w:themeColor="text1"/>
                <w:szCs w:val="21"/>
              </w:rPr>
              <w:t>危险源</w:t>
            </w:r>
          </w:p>
        </w:tc>
        <w:tc>
          <w:tcPr>
            <w:tcW w:w="1134" w:type="dxa"/>
            <w:vAlign w:val="center"/>
          </w:tcPr>
          <w:p>
            <w:pPr>
              <w:jc w:val="center"/>
              <w:rPr>
                <w:rFonts w:ascii="Times New Roman" w:hAnsi="Times New Roman" w:cs="Times New Roman"/>
                <w:b/>
                <w:color w:val="000000" w:themeColor="text1"/>
                <w:szCs w:val="21"/>
              </w:rPr>
            </w:pPr>
            <w:r>
              <w:rPr>
                <w:rFonts w:ascii="Times New Roman" w:hAnsi="Times New Roman" w:cs="Times New Roman"/>
                <w:b/>
                <w:color w:val="000000" w:themeColor="text1"/>
                <w:szCs w:val="21"/>
              </w:rPr>
              <w:t>突发环境事件类型</w:t>
            </w:r>
          </w:p>
        </w:tc>
        <w:tc>
          <w:tcPr>
            <w:tcW w:w="6036" w:type="dxa"/>
            <w:vAlign w:val="center"/>
          </w:tcPr>
          <w:p>
            <w:pPr>
              <w:jc w:val="center"/>
              <w:rPr>
                <w:rFonts w:ascii="Times New Roman" w:hAnsi="Times New Roman" w:cs="Times New Roman"/>
                <w:b/>
                <w:color w:val="000000" w:themeColor="text1"/>
                <w:szCs w:val="21"/>
              </w:rPr>
            </w:pPr>
            <w:r>
              <w:rPr>
                <w:rFonts w:ascii="Times New Roman" w:hAnsi="Times New Roman" w:cs="Times New Roman"/>
                <w:b/>
                <w:color w:val="000000" w:themeColor="text1"/>
                <w:szCs w:val="21"/>
              </w:rPr>
              <w:t>影响程度及范围</w:t>
            </w:r>
          </w:p>
        </w:tc>
        <w:tc>
          <w:tcPr>
            <w:tcW w:w="1417" w:type="dxa"/>
            <w:vAlign w:val="center"/>
          </w:tcPr>
          <w:p>
            <w:pPr>
              <w:jc w:val="center"/>
              <w:rPr>
                <w:rFonts w:ascii="Times New Roman" w:hAnsi="Times New Roman" w:cs="Times New Roman"/>
                <w:b/>
                <w:color w:val="000000" w:themeColor="text1"/>
                <w:szCs w:val="21"/>
              </w:rPr>
            </w:pPr>
            <w:r>
              <w:rPr>
                <w:rFonts w:ascii="Times New Roman" w:hAnsi="Times New Roman" w:cs="Times New Roman"/>
                <w:b/>
                <w:color w:val="000000" w:themeColor="text1"/>
                <w:szCs w:val="21"/>
              </w:rPr>
              <w:t>受影响</w:t>
            </w:r>
          </w:p>
          <w:p>
            <w:pPr>
              <w:jc w:val="center"/>
              <w:rPr>
                <w:rFonts w:ascii="Times New Roman" w:hAnsi="Times New Roman" w:cs="Times New Roman"/>
                <w:b/>
                <w:color w:val="000000" w:themeColor="text1"/>
                <w:szCs w:val="21"/>
              </w:rPr>
            </w:pPr>
            <w:r>
              <w:rPr>
                <w:rFonts w:ascii="Times New Roman" w:hAnsi="Times New Roman" w:cs="Times New Roman"/>
                <w:b/>
                <w:color w:val="000000" w:themeColor="text1"/>
                <w:szCs w:val="21"/>
              </w:rPr>
              <w:t>环境要素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413" w:type="dxa"/>
            <w:vMerge w:val="restart"/>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卸油区</w:t>
            </w:r>
          </w:p>
          <w:p>
            <w:pPr>
              <w:jc w:val="center"/>
              <w:rPr>
                <w:rFonts w:ascii="Times New Roman" w:hAnsi="Times New Roman" w:cs="Times New Roman"/>
                <w:color w:val="000000" w:themeColor="text1"/>
                <w:szCs w:val="21"/>
              </w:rPr>
            </w:pPr>
          </w:p>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加油区</w:t>
            </w:r>
          </w:p>
          <w:p>
            <w:pPr>
              <w:jc w:val="center"/>
              <w:rPr>
                <w:rFonts w:ascii="Times New Roman" w:hAnsi="Times New Roman" w:cs="Times New Roman"/>
                <w:color w:val="000000" w:themeColor="text1"/>
                <w:szCs w:val="21"/>
              </w:rPr>
            </w:pPr>
          </w:p>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油罐区</w:t>
            </w:r>
          </w:p>
        </w:tc>
        <w:tc>
          <w:tcPr>
            <w:tcW w:w="1134"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泄漏</w:t>
            </w:r>
          </w:p>
        </w:tc>
        <w:tc>
          <w:tcPr>
            <w:tcW w:w="6036" w:type="dxa"/>
            <w:vAlign w:val="center"/>
          </w:tcPr>
          <w:p>
            <w:pPr>
              <w:widowControl/>
              <w:ind w:firstLine="420" w:firstLineChars="200"/>
              <w:rPr>
                <w:rFonts w:ascii="Times New Roman" w:hAnsi="Times New Roman" w:cs="Times New Roman"/>
                <w:bCs/>
                <w:color w:val="000000" w:themeColor="text1"/>
                <w:kern w:val="0"/>
                <w:szCs w:val="21"/>
              </w:rPr>
            </w:pPr>
            <w:r>
              <w:rPr>
                <w:rFonts w:ascii="Times New Roman" w:hAnsi="Times New Roman" w:cs="Times New Roman"/>
                <w:bCs/>
                <w:color w:val="000000" w:themeColor="text1"/>
                <w:kern w:val="0"/>
                <w:szCs w:val="21"/>
              </w:rPr>
              <w:t>将影响加油站</w:t>
            </w:r>
            <w:r>
              <w:rPr>
                <w:rFonts w:hint="eastAsia" w:ascii="Times New Roman" w:hAnsi="Times New Roman" w:cs="Times New Roman"/>
                <w:bCs/>
                <w:color w:val="000000" w:themeColor="text1"/>
                <w:kern w:val="0"/>
                <w:szCs w:val="21"/>
              </w:rPr>
              <w:t>东面</w:t>
            </w:r>
            <w:r>
              <w:rPr>
                <w:rFonts w:hint="eastAsia" w:ascii="Times New Roman" w:hAnsi="Times New Roman" w:cs="Times New Roman"/>
                <w:bCs/>
                <w:color w:val="000000" w:themeColor="text1"/>
                <w:kern w:val="0"/>
                <w:szCs w:val="21"/>
                <w:lang w:val="en-US" w:eastAsia="zh-CN"/>
              </w:rPr>
              <w:t>4.4</w:t>
            </w:r>
            <w:r>
              <w:rPr>
                <w:rFonts w:ascii="Times New Roman" w:hAnsi="Times New Roman" w:cs="Times New Roman"/>
                <w:bCs/>
                <w:color w:val="000000" w:themeColor="text1"/>
                <w:kern w:val="0"/>
                <w:szCs w:val="21"/>
              </w:rPr>
              <w:t>km</w:t>
            </w:r>
            <w:r>
              <w:rPr>
                <w:rFonts w:hint="eastAsia" w:ascii="Times New Roman" w:hAnsi="Times New Roman" w:cs="Times New Roman"/>
                <w:bCs/>
                <w:color w:val="000000" w:themeColor="text1"/>
                <w:kern w:val="0"/>
                <w:szCs w:val="21"/>
              </w:rPr>
              <w:t>的</w:t>
            </w:r>
            <w:r>
              <w:rPr>
                <w:rFonts w:hint="eastAsia" w:ascii="Times New Roman" w:hAnsi="Times New Roman" w:cs="Times New Roman"/>
                <w:bCs/>
                <w:color w:val="000000" w:themeColor="text1"/>
                <w:kern w:val="0"/>
                <w:szCs w:val="21"/>
                <w:lang w:val="en-US" w:eastAsia="zh-CN"/>
              </w:rPr>
              <w:t>贛江水质</w:t>
            </w:r>
            <w:r>
              <w:rPr>
                <w:rFonts w:ascii="Times New Roman" w:hAnsi="Times New Roman" w:cs="Times New Roman"/>
                <w:bCs/>
                <w:color w:val="000000" w:themeColor="text1"/>
                <w:kern w:val="0"/>
                <w:szCs w:val="21"/>
              </w:rPr>
              <w:t>及沿途地下水与土壤造成严重污染。</w:t>
            </w:r>
          </w:p>
        </w:tc>
        <w:tc>
          <w:tcPr>
            <w:tcW w:w="1417"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地表水</w:t>
            </w:r>
          </w:p>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地下水</w:t>
            </w:r>
          </w:p>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土壤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413" w:type="dxa"/>
            <w:vMerge w:val="continue"/>
            <w:vAlign w:val="center"/>
          </w:tcPr>
          <w:p>
            <w:pPr>
              <w:jc w:val="center"/>
              <w:rPr>
                <w:rFonts w:ascii="Times New Roman" w:hAnsi="Times New Roman" w:cs="Times New Roman"/>
                <w:color w:val="000000" w:themeColor="text1"/>
                <w:szCs w:val="21"/>
              </w:rPr>
            </w:pPr>
          </w:p>
        </w:tc>
        <w:tc>
          <w:tcPr>
            <w:tcW w:w="1134"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火灾</w:t>
            </w:r>
          </w:p>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爆炸</w:t>
            </w:r>
          </w:p>
        </w:tc>
        <w:tc>
          <w:tcPr>
            <w:tcW w:w="6036" w:type="dxa"/>
            <w:vAlign w:val="center"/>
          </w:tcPr>
          <w:p>
            <w:pPr>
              <w:ind w:firstLine="420" w:firstLineChars="200"/>
              <w:rPr>
                <w:rFonts w:ascii="Times New Roman" w:hAnsi="Times New Roman" w:cs="Times New Roman"/>
                <w:color w:val="000000" w:themeColor="text1"/>
                <w:szCs w:val="21"/>
              </w:rPr>
            </w:pPr>
            <w:r>
              <w:rPr>
                <w:rFonts w:ascii="Times New Roman" w:hAnsi="Times New Roman" w:cs="Times New Roman"/>
                <w:bCs/>
                <w:color w:val="000000" w:themeColor="text1"/>
                <w:kern w:val="0"/>
                <w:szCs w:val="21"/>
              </w:rPr>
              <w:t>可能导致与事故发生点不同距离处出现死亡、重伤、轻伤及经济财产损失；同时物料燃烧过程中将向大气中以无组织形式排放烟尘、氮氧化物、二氧化碳等大气污染物；存在消防废水、事故后期洗消废水外溢出厂外，影响加油站</w:t>
            </w:r>
            <w:r>
              <w:rPr>
                <w:rFonts w:hint="eastAsia" w:ascii="Times New Roman" w:hAnsi="Times New Roman" w:cs="Times New Roman"/>
                <w:bCs/>
                <w:color w:val="000000" w:themeColor="text1"/>
                <w:kern w:val="0"/>
                <w:szCs w:val="21"/>
              </w:rPr>
              <w:t>东面</w:t>
            </w:r>
            <w:r>
              <w:rPr>
                <w:rFonts w:hint="eastAsia" w:ascii="Times New Roman" w:hAnsi="Times New Roman" w:cs="Times New Roman"/>
                <w:bCs/>
                <w:color w:val="000000" w:themeColor="text1"/>
                <w:kern w:val="0"/>
                <w:szCs w:val="21"/>
                <w:lang w:val="en-US" w:eastAsia="zh-CN"/>
              </w:rPr>
              <w:t>4.4</w:t>
            </w:r>
            <w:r>
              <w:rPr>
                <w:rFonts w:ascii="Times New Roman" w:hAnsi="Times New Roman" w:cs="Times New Roman"/>
                <w:bCs/>
                <w:color w:val="000000" w:themeColor="text1"/>
                <w:kern w:val="0"/>
                <w:szCs w:val="21"/>
              </w:rPr>
              <w:t>km</w:t>
            </w:r>
            <w:r>
              <w:rPr>
                <w:rFonts w:hint="eastAsia" w:ascii="Times New Roman" w:hAnsi="Times New Roman" w:cs="Times New Roman"/>
                <w:bCs/>
                <w:color w:val="000000" w:themeColor="text1"/>
                <w:kern w:val="0"/>
                <w:szCs w:val="21"/>
              </w:rPr>
              <w:t>的</w:t>
            </w:r>
            <w:r>
              <w:rPr>
                <w:rFonts w:hint="eastAsia" w:ascii="Times New Roman" w:hAnsi="Times New Roman" w:cs="Times New Roman"/>
                <w:bCs/>
                <w:color w:val="000000" w:themeColor="text1"/>
                <w:kern w:val="0"/>
                <w:szCs w:val="21"/>
                <w:lang w:val="en-US" w:eastAsia="zh-CN"/>
              </w:rPr>
              <w:t>贛江水质</w:t>
            </w:r>
            <w:r>
              <w:rPr>
                <w:rFonts w:ascii="Times New Roman" w:hAnsi="Times New Roman" w:cs="Times New Roman"/>
                <w:bCs/>
                <w:color w:val="000000" w:themeColor="text1"/>
                <w:kern w:val="0"/>
                <w:szCs w:val="21"/>
              </w:rPr>
              <w:t>及沿途地下水与土壤造成严重污染。事故本身及事故后加油站毁坏状态将明显破坏区域的环境景观。</w:t>
            </w:r>
          </w:p>
        </w:tc>
        <w:tc>
          <w:tcPr>
            <w:tcW w:w="1417"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大气</w:t>
            </w:r>
          </w:p>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地表水</w:t>
            </w:r>
          </w:p>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地下水</w:t>
            </w:r>
          </w:p>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生态环境</w:t>
            </w:r>
          </w:p>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土壤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413"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化粪池等污水处理设施</w:t>
            </w:r>
          </w:p>
        </w:tc>
        <w:tc>
          <w:tcPr>
            <w:tcW w:w="1134"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泄漏</w:t>
            </w:r>
          </w:p>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运行异常</w:t>
            </w:r>
          </w:p>
        </w:tc>
        <w:tc>
          <w:tcPr>
            <w:tcW w:w="6036" w:type="dxa"/>
            <w:vAlign w:val="center"/>
          </w:tcPr>
          <w:p>
            <w:pPr>
              <w:ind w:firstLine="420" w:firstLineChars="200"/>
              <w:rPr>
                <w:rFonts w:ascii="Times New Roman" w:hAnsi="Times New Roman" w:cs="Times New Roman"/>
                <w:color w:val="000000" w:themeColor="text1"/>
                <w:szCs w:val="21"/>
              </w:rPr>
            </w:pPr>
            <w:r>
              <w:rPr>
                <w:rFonts w:ascii="Times New Roman" w:hAnsi="Times New Roman" w:cs="Times New Roman"/>
                <w:color w:val="000000" w:themeColor="text1"/>
                <w:szCs w:val="21"/>
              </w:rPr>
              <w:t>将</w:t>
            </w:r>
            <w:r>
              <w:rPr>
                <w:rFonts w:hint="eastAsia" w:ascii="Times New Roman" w:hAnsi="Times New Roman" w:cs="Times New Roman"/>
                <w:bCs/>
                <w:color w:val="000000" w:themeColor="text1"/>
                <w:kern w:val="0"/>
                <w:szCs w:val="21"/>
              </w:rPr>
              <w:t>东面</w:t>
            </w:r>
            <w:r>
              <w:rPr>
                <w:rFonts w:hint="eastAsia" w:ascii="Times New Roman" w:hAnsi="Times New Roman" w:cs="Times New Roman"/>
                <w:bCs/>
                <w:color w:val="000000" w:themeColor="text1"/>
                <w:kern w:val="0"/>
                <w:szCs w:val="21"/>
                <w:lang w:val="en-US" w:eastAsia="zh-CN"/>
              </w:rPr>
              <w:t>4.4</w:t>
            </w:r>
            <w:r>
              <w:rPr>
                <w:rFonts w:ascii="Times New Roman" w:hAnsi="Times New Roman" w:cs="Times New Roman"/>
                <w:bCs/>
                <w:color w:val="000000" w:themeColor="text1"/>
                <w:kern w:val="0"/>
                <w:szCs w:val="21"/>
              </w:rPr>
              <w:t>km</w:t>
            </w:r>
            <w:r>
              <w:rPr>
                <w:rFonts w:hint="eastAsia" w:ascii="Times New Roman" w:hAnsi="Times New Roman" w:cs="Times New Roman"/>
                <w:bCs/>
                <w:color w:val="000000" w:themeColor="text1"/>
                <w:kern w:val="0"/>
                <w:szCs w:val="21"/>
              </w:rPr>
              <w:t>的</w:t>
            </w:r>
            <w:r>
              <w:rPr>
                <w:rFonts w:hint="eastAsia" w:ascii="Times New Roman" w:hAnsi="Times New Roman" w:cs="Times New Roman"/>
                <w:bCs/>
                <w:color w:val="000000" w:themeColor="text1"/>
                <w:kern w:val="0"/>
                <w:szCs w:val="21"/>
                <w:lang w:val="en-US" w:eastAsia="zh-CN"/>
              </w:rPr>
              <w:t>贛江水质</w:t>
            </w:r>
            <w:r>
              <w:rPr>
                <w:rFonts w:ascii="Times New Roman" w:hAnsi="Times New Roman" w:cs="Times New Roman"/>
                <w:bCs/>
                <w:color w:val="000000" w:themeColor="text1"/>
                <w:szCs w:val="21"/>
              </w:rPr>
              <w:t>及沿途地下水与土壤造成严重污染。</w:t>
            </w:r>
          </w:p>
        </w:tc>
        <w:tc>
          <w:tcPr>
            <w:tcW w:w="1417"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地表水</w:t>
            </w:r>
          </w:p>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地下水</w:t>
            </w:r>
          </w:p>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土壤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1413"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站内各用电单元</w:t>
            </w:r>
          </w:p>
        </w:tc>
        <w:tc>
          <w:tcPr>
            <w:tcW w:w="8587" w:type="dxa"/>
            <w:gridSpan w:val="3"/>
            <w:vAlign w:val="center"/>
          </w:tcPr>
          <w:p>
            <w:pPr>
              <w:rPr>
                <w:rFonts w:ascii="Times New Roman" w:hAnsi="Times New Roman" w:cs="Times New Roman"/>
                <w:color w:val="000000" w:themeColor="text1"/>
                <w:szCs w:val="21"/>
              </w:rPr>
            </w:pPr>
            <w:r>
              <w:rPr>
                <w:rFonts w:ascii="Times New Roman" w:hAnsi="Times New Roman" w:cs="Times New Roman"/>
                <w:color w:val="000000" w:themeColor="text1"/>
                <w:szCs w:val="21"/>
              </w:rPr>
              <w:t>同各危险源发生火灾、爆炸事故时的影响。</w:t>
            </w:r>
          </w:p>
        </w:tc>
      </w:tr>
    </w:tbl>
    <w:p>
      <w:pPr>
        <w:keepNext/>
        <w:keepLines/>
        <w:spacing w:beforeLines="100" w:afterLines="100" w:line="500" w:lineRule="exact"/>
        <w:jc w:val="left"/>
        <w:outlineLvl w:val="1"/>
        <w:rPr>
          <w:rFonts w:ascii="Times New Roman" w:hAnsi="Times New Roman" w:cs="Times New Roman"/>
          <w:b/>
          <w:bCs/>
          <w:color w:val="000000" w:themeColor="text1"/>
          <w:kern w:val="44"/>
          <w:sz w:val="24"/>
          <w:szCs w:val="24"/>
        </w:rPr>
      </w:pPr>
      <w:bookmarkStart w:id="358" w:name="_Toc6108_WPSOffice_Level2"/>
      <w:bookmarkStart w:id="359" w:name="_Toc532817038"/>
      <w:bookmarkStart w:id="360" w:name="_Toc24083"/>
      <w:bookmarkStart w:id="361" w:name="_Toc13549"/>
      <w:bookmarkStart w:id="362" w:name="_Toc8889_WPSOffice_Level2"/>
      <w:bookmarkStart w:id="363" w:name="_Toc653_WPSOffice_Level2"/>
      <w:bookmarkStart w:id="364" w:name="_Toc1190_WPSOffice_Level2"/>
      <w:bookmarkStart w:id="365" w:name="_Toc12429_WPSOffice_Level2"/>
      <w:r>
        <w:rPr>
          <w:rFonts w:ascii="Times New Roman" w:hAnsi="Times New Roman" w:cs="Times New Roman"/>
          <w:b/>
          <w:bCs/>
          <w:color w:val="000000" w:themeColor="text1"/>
          <w:kern w:val="44"/>
          <w:sz w:val="24"/>
          <w:szCs w:val="24"/>
        </w:rPr>
        <w:t>3.4风险事故管理</w:t>
      </w:r>
      <w:bookmarkEnd w:id="358"/>
      <w:bookmarkEnd w:id="359"/>
      <w:bookmarkEnd w:id="360"/>
      <w:bookmarkEnd w:id="361"/>
      <w:bookmarkEnd w:id="362"/>
      <w:bookmarkEnd w:id="363"/>
      <w:bookmarkEnd w:id="364"/>
      <w:bookmarkEnd w:id="365"/>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公司制定了《安全生产管理制度》和《环境保护管理制度》，贯彻落实国家安全、环保法律法规的要求，不断的制定和完善生产、设备安全规程，做到管理防范在先，安全环保管理部门要按时按要求进行检查，使企业生产管理始终在正确的轨道上运行，对公司易发生风险事故的环节进行严格管理，强化各级责任制落实，严格环境风险源的控制管理，防止环境污染事件发生。</w:t>
      </w:r>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366" w:name="_Toc1190_WPSOffice_Level3"/>
      <w:bookmarkStart w:id="367" w:name="_Toc25316_WPSOffice_Level3"/>
      <w:bookmarkStart w:id="368" w:name="_Toc25951_WPSOffice_Level3"/>
      <w:bookmarkStart w:id="369" w:name="_Toc22333"/>
      <w:bookmarkStart w:id="370" w:name="_Toc532817039"/>
      <w:bookmarkStart w:id="371" w:name="_Toc14017_WPSOffice_Level3"/>
      <w:bookmarkStart w:id="372" w:name="_Toc30116_WPSOffice_Level3"/>
      <w:bookmarkStart w:id="373" w:name="_Toc6903"/>
      <w:r>
        <w:rPr>
          <w:rFonts w:ascii="Times New Roman" w:hAnsi="Times New Roman" w:cs="Times New Roman"/>
          <w:b/>
          <w:bCs/>
          <w:color w:val="000000" w:themeColor="text1"/>
          <w:kern w:val="44"/>
          <w:sz w:val="24"/>
          <w:szCs w:val="24"/>
        </w:rPr>
        <w:t>3.4.1</w:t>
      </w:r>
      <w:bookmarkStart w:id="374" w:name="OLE_LINK9"/>
      <w:r>
        <w:rPr>
          <w:rFonts w:ascii="Times New Roman" w:hAnsi="Times New Roman" w:cs="Times New Roman"/>
          <w:b/>
          <w:bCs/>
          <w:color w:val="000000" w:themeColor="text1"/>
          <w:kern w:val="44"/>
          <w:sz w:val="24"/>
          <w:szCs w:val="24"/>
        </w:rPr>
        <w:t>环境事故预防措施</w:t>
      </w:r>
      <w:bookmarkEnd w:id="366"/>
      <w:bookmarkEnd w:id="367"/>
      <w:bookmarkEnd w:id="368"/>
      <w:bookmarkEnd w:id="369"/>
      <w:bookmarkEnd w:id="370"/>
      <w:bookmarkEnd w:id="371"/>
      <w:bookmarkEnd w:id="372"/>
      <w:bookmarkEnd w:id="373"/>
    </w:p>
    <w:p>
      <w:pPr>
        <w:spacing w:line="500" w:lineRule="exact"/>
        <w:ind w:firstLine="480" w:firstLineChars="200"/>
        <w:rPr>
          <w:rFonts w:ascii="Times New Roman" w:hAnsi="Times New Roman" w:cs="Times New Roman"/>
          <w:color w:val="000000" w:themeColor="text1"/>
          <w:sz w:val="24"/>
          <w:szCs w:val="24"/>
        </w:rPr>
      </w:pPr>
      <w:bookmarkStart w:id="375" w:name="OLE_LINK7"/>
      <w:r>
        <w:rPr>
          <w:rFonts w:ascii="Times New Roman" w:hAnsi="Times New Roman" w:cs="Times New Roman"/>
          <w:color w:val="000000" w:themeColor="text1"/>
          <w:sz w:val="24"/>
          <w:szCs w:val="24"/>
        </w:rPr>
        <w:t>由于加油站环境风险具有突发性和短暂性及危害较大等特点，必须采取相应有效预防措施加以防范，加强控制和管理，杜绝、减轻和避免环境风险。在项目运营过程中可采取以下安全防范措施：</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（1）放置储油罐体的罐池内回填厚度大于0.3m的干净砂土，同时也防止回填土含酸碱的废渣，对储油罐体加剧腐蚀；</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（2）增加高液位报警系统，及时掌握储油罐情况，如果发生泄漏能够及时发现，及时采取措施；</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（3）储油罐体的各接合管设在储油罐的顶部，便于平时的检修与管理，避免现场安装开孔，有可能出现焊接不良和接管受力大，容易发生断裂而造成的跑油、渗油等不安全事故；</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（4）加油站设置符合标准的灭火设施；</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（5）加油站设置防雷防静电设施，并经过避雷装置检测站检测及复查合格；</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（6）加强对项目周围大气和水环境的监测，对油品的泄露要及时掌握，防止油品的泄露对周围大气、土壤、水环境造成危害；</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（7）建立一套完善的安全管理制度，执行工业安全卫生、劳动保护、环保、消防等相关规定；</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（8）加强对储油罐体渗漏事故的防护，对储油罐法兰、阀门等进行定期检测。一旦发生火灾爆炸，要尽快使用已有的消防设施扑救，疏散周围非急救人员，远离事故区；</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（9）加强对加油机灭火装置的日常管理，做到灭火装置完整有效，一旦发生加油机火灾、爆炸事故时能及时启动，进行灭火；</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（10）加油站电气设备和仪表均选用防爆型，灯具也应选防爆灯具，加强管理，严禁区内有明火出现；</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（11）加油站若出现意外撒油，立即用消防沙吸附清除地面的油污；</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12）为了避免油品事故泄漏对土壤环境和地下水环境的影响，加油站地下油罐罐池采用六胶三布防渗防腐防水处理，同时对埋地管线采取环氧煤沥青加强级防腐处理，并设有卸油、加油密闭油气回收装置。油罐设置在防腐防渗钢混水泥罐池内，池底壁内衬防腐防渗。为防止卸油时油罐溢满，已在卸油管立管处安装卸油防溢阀。为保护埋地敷设的防腐层，管底部做沙垫层，厚度大于200mm，管顶部及两侧填沙厚度均大于200mm。然后做硬化地面处理，建议安装监控设施，杜绝油品泄漏。</w:t>
      </w:r>
    </w:p>
    <w:bookmarkEnd w:id="374"/>
    <w:bookmarkEnd w:id="375"/>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376" w:name="_Toc10653"/>
      <w:bookmarkStart w:id="377" w:name="_Toc532817040"/>
      <w:bookmarkStart w:id="378" w:name="_Toc30192_WPSOffice_Level3"/>
      <w:bookmarkStart w:id="379" w:name="_Toc28228_WPSOffice_Level3"/>
      <w:bookmarkStart w:id="380" w:name="_Toc20861_WPSOffice_Level3"/>
      <w:bookmarkStart w:id="381" w:name="_Toc3780_WPSOffice_Level3"/>
      <w:bookmarkStart w:id="382" w:name="_Toc23672"/>
      <w:bookmarkStart w:id="383" w:name="_Toc21902_WPSOffice_Level3"/>
      <w:r>
        <w:rPr>
          <w:rFonts w:ascii="Times New Roman" w:hAnsi="Times New Roman" w:cs="Times New Roman"/>
          <w:b/>
          <w:bCs/>
          <w:color w:val="000000" w:themeColor="text1"/>
          <w:kern w:val="44"/>
          <w:sz w:val="24"/>
          <w:szCs w:val="24"/>
        </w:rPr>
        <w:t>3.4.2环境事故发生后措施</w:t>
      </w:r>
      <w:bookmarkEnd w:id="376"/>
      <w:bookmarkEnd w:id="377"/>
      <w:bookmarkEnd w:id="378"/>
      <w:bookmarkEnd w:id="379"/>
      <w:bookmarkEnd w:id="380"/>
      <w:bookmarkEnd w:id="381"/>
      <w:bookmarkEnd w:id="382"/>
      <w:bookmarkEnd w:id="383"/>
    </w:p>
    <w:p>
      <w:pPr>
        <w:spacing w:line="500" w:lineRule="exact"/>
        <w:ind w:firstLine="482" w:firstLineChars="200"/>
        <w:rPr>
          <w:rFonts w:ascii="Times New Roman" w:hAnsi="Times New Roman" w:cs="Times New Roman"/>
          <w:b/>
          <w:bCs/>
          <w:color w:val="000000" w:themeColor="text1"/>
          <w:sz w:val="24"/>
          <w:szCs w:val="24"/>
        </w:rPr>
      </w:pPr>
      <w:bookmarkStart w:id="384" w:name="OLE_LINK4"/>
      <w:r>
        <w:rPr>
          <w:rFonts w:ascii="Times New Roman" w:hAnsi="Times New Roman" w:cs="Times New Roman"/>
          <w:b/>
          <w:bCs/>
          <w:color w:val="000000" w:themeColor="text1"/>
          <w:sz w:val="24"/>
          <w:szCs w:val="24"/>
        </w:rPr>
        <w:t>（1）加油机跑油事故处理措施</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1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①</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加油员应立即停止加油，放空回油，关闭加油阀，切断加油机电源。</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2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②</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暂停所有加油活动，其他加油员将加油车辆推离加油站。现场站长或当班安全员负责疏散周围车辆和闲散人员，并指派一名加油员现场警戒。</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3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③</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其他加油员用棉纱、拖把等进行必要的回收，严禁用铁制、塑料等易产生火花的器皿进行回收，回收后用沙土覆盖残留油面，待充分吸收残油后将沙土清除干净。</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4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④</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地面油品处理干净后，现场班长宣布恢复加油作业。</w:t>
      </w:r>
    </w:p>
    <w:p>
      <w:pPr>
        <w:spacing w:line="50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（2）罐车卸油冒罐处理措施</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1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①</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当罐车卸油冒罐时计量保管员及时关闭储油罐卸油阀，切断总电源，停止营业，并向站长（或现场班长）汇报。</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2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②</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必要时报告公安消防部门，以便临时封堵附近的交通道路，站长（或现场班长）及时组织人员进行现场警戒，疏散站内人员，推出站内车辆，检查并消除附近的一切火源；制止其他车辆和人员进入加油站。</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3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③</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在溢油处上风向，布置消防器材。</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4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④</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对现场已冒油品用沙土、活性炭等围住、吸附，并进行必要的回收，禁止用铁制等易产生火花的器具作回收工具。回收后用沙土覆盖残留油品，待充分吸收残油后将沙土清除干净。</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5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⑤</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给被油品溅泼的人员提供援助；通知毗邻单位或居民，注意危险。</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6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⑥</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检查井内是否有残油，若有残油应及时清理干净，并检查其他可能产生危险的区域是否有隐患存在。</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7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⑦</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计量确定跑冒油损失数量，做好记录台帐。</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8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⑧</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检查确认无其他隐患后，方可恢复营业。</w:t>
      </w:r>
    </w:p>
    <w:p>
      <w:pPr>
        <w:spacing w:line="48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（3）加油站车辆火灾处理措施</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1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①</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如果是车辆的油箱口着火，加油员立即用石棉毯将油箱口盖住使其窒息，另外一名加油员用灭火器扑救。</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2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②</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如果是摩托车发动机着火，加油站应立即停止加油，先设法将油箱盖盖上或用灭火毯盖住，再用灭火器扑灭。</w:t>
      </w:r>
    </w:p>
    <w:p>
      <w:pPr>
        <w:spacing w:line="48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（4）油罐汽车火灾处理措施</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1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①</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加油员立即关闭罐车卸油阀，停止卸油。</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2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②</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司机迅速将罐车驶离现场，将车开到开阔安全的地方再进行扑救。</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3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③</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加油站工作人员应拨打119火警电话，请求外援。</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4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④</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向所属地环保部门报告。电话：</w:t>
      </w:r>
      <w:r>
        <w:rPr>
          <w:rFonts w:ascii="Times New Roman" w:hAnsi="Times New Roman" w:eastAsia="仿宋" w:cs="Times New Roman"/>
          <w:sz w:val="24"/>
          <w:szCs w:val="24"/>
          <w:lang w:val="zh-CN"/>
        </w:rPr>
        <w:t>0791-</w:t>
      </w:r>
      <w:r>
        <w:rPr>
          <w:rFonts w:ascii="Times New Roman" w:hAnsi="Times New Roman" w:eastAsia="仿宋" w:cs="Times New Roman"/>
          <w:sz w:val="24"/>
          <w:szCs w:val="24"/>
        </w:rPr>
        <w:t>85735802</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5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⑤</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如油罐车罐口着火，可首先用石棉毯将罐口盖上，或使用其他覆盖物（如湿棉衣、湿麻袋等）堵严罐口将油火扑灭。当火势较猛时，应使用推车式及手提式干粉灭火器对准罐口将大火扑灭。</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6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⑥</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当专业消防人员尚未到达，且火势无法控制时，放弃扑救，现场站长立即将人员撤离到安全场所。</w:t>
      </w:r>
    </w:p>
    <w:p>
      <w:pPr>
        <w:spacing w:line="48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（5）站内大面积起火处理措施</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1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①</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一人负责向当地消防部门报警（报警电话119），说明火灾类型及地点。</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2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②</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站长组织在场人员利用现有消防器材扑灭油火。灭火人员按照灭火器材的使用方法，占据有利地形，从上风向由近及远扑灭地面火灾。</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3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③</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在灭火同时，立即停止加油，关闭闸阀，包裹在储油罐体通气管，关闭操作井口，切断电源。</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4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④</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疏散现场无关人员及车辆，清理疏通站内、外消防通道。</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5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⑤</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消防车一到，加油站员工立即配合消防队按预定方案投入灭火救援。</w:t>
      </w:r>
    </w:p>
    <w:p>
      <w:pPr>
        <w:spacing w:line="48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（6）电气火灾处理措施</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1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①</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发生电气火灾时，首先切断电源，然后用CO</w:t>
      </w:r>
      <w:r>
        <w:rPr>
          <w:rFonts w:ascii="Times New Roman" w:hAnsi="Times New Roman" w:cs="Times New Roman"/>
          <w:color w:val="000000" w:themeColor="text1"/>
          <w:sz w:val="24"/>
          <w:szCs w:val="24"/>
          <w:vertAlign w:val="subscript"/>
        </w:rPr>
        <w:t>2</w:t>
      </w:r>
      <w:r>
        <w:rPr>
          <w:rFonts w:ascii="Times New Roman" w:hAnsi="Times New Roman" w:cs="Times New Roman"/>
          <w:color w:val="000000" w:themeColor="text1"/>
          <w:sz w:val="24"/>
          <w:szCs w:val="24"/>
        </w:rPr>
        <w:t>或干粉灭火器扑灭。电气火灾严禁用泡沫灭火器对着火源喷射。</w:t>
      </w:r>
    </w:p>
    <w:p>
      <w:pPr>
        <w:spacing w:line="48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2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②</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无法切断电源时，灭火者身着耐火并绝缘的鞋靴、服装，防止触电。然后用CO</w:t>
      </w:r>
      <w:r>
        <w:rPr>
          <w:rFonts w:ascii="Times New Roman" w:hAnsi="Times New Roman" w:cs="Times New Roman"/>
          <w:color w:val="000000" w:themeColor="text1"/>
          <w:sz w:val="24"/>
          <w:szCs w:val="24"/>
          <w:vertAlign w:val="subscript"/>
        </w:rPr>
        <w:t>2</w:t>
      </w:r>
      <w:r>
        <w:rPr>
          <w:rFonts w:ascii="Times New Roman" w:hAnsi="Times New Roman" w:cs="Times New Roman"/>
          <w:color w:val="000000" w:themeColor="text1"/>
          <w:sz w:val="24"/>
          <w:szCs w:val="24"/>
        </w:rPr>
        <w:t>或干粉灭火器对着火源喷射。</w:t>
      </w:r>
      <w:bookmarkEnd w:id="384"/>
      <w:bookmarkStart w:id="385" w:name="_Toc14991"/>
    </w:p>
    <w:p>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pPr>
        <w:pStyle w:val="4"/>
        <w:spacing w:before="240" w:after="240" w:line="500" w:lineRule="exact"/>
        <w:jc w:val="center"/>
        <w:rPr>
          <w:rFonts w:eastAsiaTheme="minorEastAsia"/>
          <w:color w:val="000000" w:themeColor="text1"/>
          <w:sz w:val="30"/>
          <w:szCs w:val="30"/>
        </w:rPr>
      </w:pPr>
      <w:bookmarkStart w:id="386" w:name="_Toc14034_WPSOffice_Level1"/>
      <w:bookmarkStart w:id="387" w:name="_Toc30984"/>
      <w:bookmarkStart w:id="388" w:name="_Toc24551_WPSOffice_Level1"/>
      <w:bookmarkStart w:id="389" w:name="_Toc1190_WPSOffice_Level1"/>
      <w:bookmarkStart w:id="390" w:name="_Toc3604_WPSOffice_Level1"/>
      <w:bookmarkStart w:id="391" w:name="_Toc532817041"/>
      <w:bookmarkStart w:id="392" w:name="_Toc4176"/>
      <w:bookmarkStart w:id="393" w:name="_Toc29261_WPSOffice_Level1"/>
      <w:r>
        <w:rPr>
          <w:rFonts w:eastAsiaTheme="minorEastAsia"/>
          <w:color w:val="000000" w:themeColor="text1"/>
          <w:sz w:val="30"/>
          <w:szCs w:val="30"/>
        </w:rPr>
        <w:t>4、组织机构和职责</w:t>
      </w:r>
      <w:bookmarkEnd w:id="386"/>
      <w:bookmarkEnd w:id="387"/>
      <w:bookmarkEnd w:id="388"/>
      <w:bookmarkEnd w:id="389"/>
      <w:bookmarkEnd w:id="390"/>
      <w:bookmarkEnd w:id="391"/>
      <w:bookmarkEnd w:id="392"/>
      <w:bookmarkEnd w:id="393"/>
    </w:p>
    <w:p>
      <w:pPr>
        <w:pStyle w:val="5"/>
        <w:spacing w:before="240" w:after="240" w:line="500" w:lineRule="exact"/>
        <w:jc w:val="left"/>
        <w:rPr>
          <w:rFonts w:ascii="Times New Roman" w:hAnsi="Times New Roman" w:cs="Times New Roman" w:eastAsiaTheme="minorEastAsia"/>
          <w:color w:val="000000" w:themeColor="text1"/>
          <w:sz w:val="24"/>
          <w:szCs w:val="24"/>
        </w:rPr>
      </w:pPr>
      <w:bookmarkStart w:id="394" w:name="_Toc22415"/>
      <w:bookmarkStart w:id="395" w:name="_Toc15473"/>
      <w:bookmarkStart w:id="396" w:name="_Toc582_WPSOffice_Level2"/>
      <w:bookmarkStart w:id="397" w:name="_Toc14635_WPSOffice_Level2"/>
      <w:bookmarkStart w:id="398" w:name="_Toc13999"/>
      <w:bookmarkStart w:id="399" w:name="_Toc3145"/>
      <w:bookmarkStart w:id="400" w:name="_Toc14340_WPSOffice_Level2"/>
      <w:bookmarkStart w:id="401" w:name="_Toc532817042"/>
      <w:bookmarkStart w:id="402" w:name="_Toc11939_WPSOffice_Level2"/>
      <w:bookmarkStart w:id="403" w:name="_Toc28061_WPSOffice_Level2"/>
      <w:r>
        <w:rPr>
          <w:rFonts w:ascii="Times New Roman" w:hAnsi="Times New Roman" w:cs="Times New Roman" w:eastAsiaTheme="minorEastAsia"/>
          <w:color w:val="000000" w:themeColor="text1"/>
          <w:sz w:val="24"/>
          <w:szCs w:val="24"/>
        </w:rPr>
        <w:t>4.1应急组织机构</w:t>
      </w:r>
      <w:bookmarkEnd w:id="394"/>
      <w:r>
        <w:rPr>
          <w:rFonts w:ascii="Times New Roman" w:hAnsi="Times New Roman" w:cs="Times New Roman" w:eastAsiaTheme="minorEastAsia"/>
          <w:color w:val="000000" w:themeColor="text1"/>
          <w:sz w:val="24"/>
          <w:szCs w:val="24"/>
        </w:rPr>
        <w:t>体系</w:t>
      </w:r>
      <w:bookmarkEnd w:id="395"/>
      <w:bookmarkEnd w:id="396"/>
      <w:bookmarkEnd w:id="397"/>
      <w:bookmarkEnd w:id="398"/>
      <w:bookmarkEnd w:id="399"/>
      <w:bookmarkEnd w:id="400"/>
      <w:bookmarkEnd w:id="401"/>
      <w:bookmarkEnd w:id="402"/>
      <w:bookmarkEnd w:id="403"/>
    </w:p>
    <w:p>
      <w:pPr>
        <w:pStyle w:val="26"/>
        <w:widowControl w:val="0"/>
        <w:spacing w:beforeAutospacing="0" w:afterAutospacing="0" w:line="500" w:lineRule="exact"/>
        <w:rPr>
          <w:rFonts w:hint="default" w:ascii="Times New Roman" w:hAnsi="Times New Roman" w:eastAsiaTheme="minorEastAsia"/>
          <w:color w:val="000000" w:themeColor="text1"/>
          <w:szCs w:val="24"/>
        </w:rPr>
      </w:pPr>
      <w:r>
        <w:rPr>
          <w:rFonts w:hint="default" w:ascii="Times New Roman" w:hAnsi="Times New Roman" w:eastAsiaTheme="minorEastAsia"/>
          <w:color w:val="000000" w:themeColor="text1"/>
          <w:szCs w:val="24"/>
        </w:rPr>
        <w:t>加油站成立突发性环境事件应急救援“指挥领导小组”，由公司片区经理、加油站站长、安全员、加油岗位加油员等组成,下设应急救援办公室(设在加油站办公室)，日常工作由安全员兼管，并由营业室协助事故报警及事故处理工作。发生突发性环境污染事故时，以指挥领导小组为基础，公司总经理任总指挥，站长任副总指挥，负责加油站应急救援工作的组织和指挥，指挥部设在加油站办公室。</w:t>
      </w:r>
    </w:p>
    <w:p>
      <w:pPr>
        <w:pStyle w:val="26"/>
        <w:widowControl w:val="0"/>
        <w:spacing w:beforeAutospacing="0" w:afterAutospacing="0" w:line="500" w:lineRule="exact"/>
        <w:rPr>
          <w:rFonts w:hint="default" w:ascii="Times New Roman" w:hAnsi="Times New Roman" w:eastAsiaTheme="minorEastAsia"/>
          <w:color w:val="000000" w:themeColor="text1"/>
          <w:szCs w:val="24"/>
        </w:rPr>
      </w:pPr>
      <w:r>
        <w:rPr>
          <w:rFonts w:hint="default" w:ascii="Times New Roman" w:hAnsi="Times New Roman" w:eastAsiaTheme="minorEastAsia"/>
          <w:color w:val="000000" w:themeColor="text1"/>
          <w:szCs w:val="24"/>
        </w:rPr>
        <w:t>突发环境事件应急指挥部根据加油站环境污染源实际情况，分别设立应急救援办公室、物资后勤保障组。应急指挥领导小组主要成员及组织结构、联系方式见附件5。突发环境事件应急救援组织机构见下图：</w:t>
      </w:r>
    </w:p>
    <w:p>
      <w:pPr>
        <w:spacing w:beforeAutospacing="1" w:afterAutospacing="1" w:line="500" w:lineRule="exact"/>
        <w:jc w:val="left"/>
        <w:rPr>
          <w:color w:val="000000"/>
          <w:kern w:val="0"/>
          <w:sz w:val="24"/>
        </w:rPr>
      </w:pPr>
      <w:r>
        <w:pict>
          <v:line id="直接连接符 23" o:spid="_x0000_s2081" o:spt="20" style="position:absolute;left:0pt;margin-left:151.05pt;margin-top:43.05pt;height:21.65pt;width:0.05pt;z-index:251701248;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">
            <v:path arrowok="t"/>
            <v:fill focussize="0,0"/>
            <v:stroke endarrow="block"/>
            <v:imagedata o:title=""/>
            <o:lock v:ext="edit"/>
          </v:line>
        </w:pict>
      </w:r>
      <w:r>
        <w:pict>
          <v:rect id="矩形 5" o:spid="_x0000_s2082" o:spt="1" style="position:absolute;left:0pt;margin-left:109.45pt;margin-top:6.05pt;height:36.3pt;width:98.5pt;z-index:251696128;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">
            <v:path/>
            <v:fill focussize="0,0"/>
            <v:stroke/>
            <v:imagedata o:title=""/>
            <o:lock v:ext="edit"/>
            <v:textbox>
              <w:txbxContent>
                <w:p>
                  <w:pPr>
                    <w:jc w:val="center"/>
                    <w:rPr>
                      <w:rFonts w:ascii="宋体" w:hAnsi="宋体"/>
                      <w:szCs w:val="20"/>
                    </w:rPr>
                  </w:pPr>
                  <w:r>
                    <w:rPr>
                      <w:rFonts w:hint="eastAsia" w:ascii="宋体" w:hAnsi="宋体"/>
                      <w:szCs w:val="20"/>
                    </w:rPr>
                    <w:t>指挥长：</w:t>
                  </w:r>
                  <w:r>
                    <w:rPr>
                      <w:rStyle w:val="36"/>
                      <w:rFonts w:ascii="Times New Roman" w:hAnsi="Times New Roman"/>
                      <w:spacing w:val="4"/>
                      <w:sz w:val="21"/>
                      <w:szCs w:val="21"/>
                    </w:rPr>
                    <w:t>李诵剑</w:t>
                  </w:r>
                </w:p>
              </w:txbxContent>
            </v:textbox>
          </v:rect>
        </w:pict>
      </w:r>
      <w:r>
        <w:pict>
          <v:line id="直接连接符 29" o:spid="_x0000_s2083" o:spt="20" style="position:absolute;left:0pt;margin-left:254.9pt;margin-top:23.35pt;height:54.75pt;width:0.05pt;z-index:251707392;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">
            <v:path arrowok="t"/>
            <v:fill focussize="0,0"/>
            <v:stroke/>
            <v:imagedata o:title=""/>
            <o:lock v:ext="edit"/>
          </v:line>
        </w:pict>
      </w:r>
      <w:r>
        <w:pict>
          <v:line id="直接连接符 40" o:spid="_x0000_s2084" o:spt="20" style="position:absolute;left:0pt;margin-left:207.65pt;margin-top:24.85pt;height:0.05pt;width:48pt;z-index:251706368;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">
            <v:path arrowok="t"/>
            <v:fill focussize="0,0"/>
            <v:stroke/>
            <v:imagedata o:title=""/>
            <o:lock v:ext="edit"/>
          </v:line>
        </w:pict>
      </w:r>
    </w:p>
    <w:p>
      <w:pPr>
        <w:widowControl/>
        <w:spacing w:before="100" w:beforeAutospacing="1" w:after="100" w:afterAutospacing="1" w:line="336" w:lineRule="auto"/>
        <w:jc w:val="center"/>
        <w:rPr>
          <w:b/>
          <w:color w:val="000000"/>
          <w:kern w:val="0"/>
          <w:sz w:val="24"/>
        </w:rPr>
      </w:pPr>
      <w:r>
        <w:pict>
          <v:line id="直接连接符 22" o:spid="_x0000_s2085" o:spt="20" style="position:absolute;left:0pt;margin-left:255.65pt;margin-top:25pt;height:0.05pt;width:39.75pt;z-index:251709440;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">
            <v:path arrowok="t"/>
            <v:fill focussize="0,0"/>
            <v:stroke/>
            <v:imagedata o:title=""/>
            <o:lock v:ext="edit"/>
          </v:line>
        </w:pict>
      </w:r>
      <w:r>
        <w:pict>
          <v:rect id="矩形 30" o:spid="_x0000_s2086" o:spt="1" style="position:absolute;left:0pt;margin-left:294.15pt;margin-top:9.75pt;height:25.7pt;width:110.15pt;z-index:251698176;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">
            <v:path/>
            <v:fill focussize="0,0"/>
            <v:stroke/>
            <v:imagedata o:title=""/>
            <o:lock v:ext="edit"/>
            <v:textbox>
              <w:txbxContent>
                <w:p>
                  <w:pPr>
                    <w:jc w:val="center"/>
                    <w:rPr>
                      <w:rFonts w:hint="default" w:ascii="宋体" w:hAnsi="宋体" w:eastAsia="宋体"/>
                      <w:szCs w:val="20"/>
                      <w:lang w:val="en-US" w:eastAsia="zh-CN"/>
                    </w:rPr>
                  </w:pPr>
                  <w:r>
                    <w:rPr>
                      <w:rFonts w:hint="eastAsia" w:ascii="宋体" w:hAnsi="宋体"/>
                      <w:szCs w:val="20"/>
                    </w:rPr>
                    <w:t>应急指挥部：</w:t>
                  </w:r>
                  <w:r>
                    <w:rPr>
                      <w:rStyle w:val="36"/>
                      <w:rFonts w:ascii="Times New Roman" w:hAnsi="Times New Roman"/>
                      <w:spacing w:val="4"/>
                      <w:sz w:val="21"/>
                      <w:szCs w:val="21"/>
                    </w:rPr>
                    <w:t>万艳茹</w:t>
                  </w:r>
                </w:p>
              </w:txbxContent>
            </v:textbox>
          </v:rect>
        </w:pict>
      </w:r>
      <w:r>
        <w:pict>
          <v:line id="直接连接符 7" o:spid="_x0000_s2087" o:spt="20" style="position:absolute;left:0pt;flip:x;margin-left:209.9pt;margin-top:25.35pt;height:0.8pt;width:46.5pt;z-index:251708416;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">
            <v:path arrowok="t"/>
            <v:fill focussize="0,0"/>
            <v:stroke/>
            <v:imagedata o:title=""/>
            <o:lock v:ext="edit"/>
          </v:line>
        </w:pict>
      </w:r>
      <w:r>
        <w:pict>
          <v:rect id="矩形 37" o:spid="_x0000_s2088" o:spt="1" style="position:absolute;left:0pt;margin-left:108pt;margin-top:11.3pt;height:33.65pt;width:100.45pt;z-index:251697152;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">
            <v:path/>
            <v:fill focussize="0,0"/>
            <v:stroke/>
            <v:imagedata o:title=""/>
            <o:lock v:ext="edit"/>
            <v:textbox>
              <w:txbxContent>
                <w:p>
                  <w:pPr>
                    <w:jc w:val="center"/>
                    <w:rPr>
                      <w:rFonts w:ascii="宋体" w:hAnsi="宋体"/>
                      <w:szCs w:val="20"/>
                    </w:rPr>
                  </w:pPr>
                  <w:r>
                    <w:rPr>
                      <w:rFonts w:hint="eastAsia" w:ascii="宋体" w:hAnsi="宋体"/>
                      <w:szCs w:val="20"/>
                    </w:rPr>
                    <w:t>副指挥长：</w:t>
                  </w:r>
                  <w:r>
                    <w:rPr>
                      <w:rStyle w:val="36"/>
                      <w:rFonts w:ascii="Times New Roman" w:hAnsi="Times New Roman"/>
                      <w:spacing w:val="4"/>
                      <w:sz w:val="21"/>
                      <w:szCs w:val="21"/>
                    </w:rPr>
                    <w:t>陈和川</w:t>
                  </w:r>
                </w:p>
              </w:txbxContent>
            </v:textbox>
          </v:rect>
        </w:pict>
      </w:r>
    </w:p>
    <w:p>
      <w:pPr>
        <w:widowControl/>
        <w:spacing w:before="100" w:beforeAutospacing="1" w:after="100" w:afterAutospacing="1" w:line="336" w:lineRule="auto"/>
        <w:jc w:val="center"/>
        <w:rPr>
          <w:b/>
          <w:color w:val="000000"/>
          <w:kern w:val="0"/>
          <w:sz w:val="24"/>
        </w:rPr>
      </w:pPr>
      <w:r>
        <w:pict>
          <v:line id="直接连接符 38" o:spid="_x0000_s2089" o:spt="20" style="position:absolute;left:0pt;flip:x;margin-left:150.3pt;margin-top:11.6pt;height:19.6pt;width:0pt;z-index:251702272;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">
            <v:path arrowok="t"/>
            <v:fill focussize="0,0"/>
            <v:stroke endarrow="block"/>
            <v:imagedata o:title=""/>
            <o:lock v:ext="edit"/>
          </v:line>
        </w:pict>
      </w:r>
      <w:r>
        <w:pict>
          <v:line id="直接连接符 39" o:spid="_x0000_s2090" o:spt="20" style="position:absolute;left:0pt;margin-left:260.85pt;margin-top:30.5pt;height:16.35pt;width:0.05pt;z-index:251705344;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">
            <v:path arrowok="t"/>
            <v:fill focussize="0,0"/>
            <v:stroke endarrow="block"/>
            <v:imagedata o:title=""/>
            <o:lock v:ext="edit"/>
          </v:line>
        </w:pict>
      </w:r>
      <w:r>
        <w:pict>
          <v:line id="直接连接符 26" o:spid="_x0000_s2091" o:spt="20" style="position:absolute;left:0pt;margin-left:43.4pt;margin-top:31.15pt;height:17.5pt;width:0.05pt;z-index:251703296;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">
            <v:path arrowok="t"/>
            <v:fill focussize="0,0"/>
            <v:stroke endarrow="block"/>
            <v:imagedata o:title=""/>
            <o:lock v:ext="edit"/>
          </v:line>
        </w:pict>
      </w:r>
      <w:r>
        <w:pict>
          <v:line id="直接连接符 8" o:spid="_x0000_s2092" o:spt="20" style="position:absolute;left:0pt;margin-left:42.95pt;margin-top:30pt;height:0.1pt;width:217.5pt;z-index:251699200;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">
            <v:path arrowok="t"/>
            <v:fill focussize="0,0"/>
            <v:stroke/>
            <v:imagedata o:title=""/>
            <o:lock v:ext="edit"/>
          </v:line>
        </w:pict>
      </w:r>
    </w:p>
    <w:p>
      <w:pPr>
        <w:widowControl/>
        <w:spacing w:before="100" w:beforeAutospacing="1" w:after="100" w:afterAutospacing="1" w:line="336" w:lineRule="auto"/>
        <w:jc w:val="center"/>
        <w:rPr>
          <w:b/>
          <w:color w:val="000000"/>
          <w:kern w:val="0"/>
          <w:sz w:val="24"/>
        </w:rPr>
      </w:pPr>
      <w:r>
        <w:pict>
          <v:rect id="矩形 27" o:spid="_x0000_s2093" o:spt="1" style="position:absolute;left:0pt;margin-left:230.1pt;margin-top:9.95pt;height:92.05pt;width:53.25pt;z-index:251704320;mso-width-relative:page;mso-height-relative:page;"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">
            <v:path/>
            <v:fill on="f" focussize="0,0"/>
            <v:stroke/>
            <v:imagedata o:title=""/>
            <o:lock v:ext="edit"/>
            <v:textbox style="layout-flow:vertical-ideographic;">
              <w:txbxContent>
                <w:p>
                  <w:pPr>
                    <w:rPr>
                      <w:rFonts w:ascii="宋体" w:hAnsi="宋体"/>
                      <w:szCs w:val="21"/>
                    </w:rPr>
                  </w:pPr>
                  <w:r>
                    <w:rPr>
                      <w:rFonts w:hint="eastAsia" w:ascii="宋体" w:hAnsi="宋体"/>
                      <w:szCs w:val="21"/>
                    </w:rPr>
                    <w:t>物资后勤保障组</w:t>
                  </w:r>
                </w:p>
                <w:p>
                  <w:pPr>
                    <w:rPr>
                      <w:rFonts w:ascii="宋体" w:hAnsi="宋体"/>
                      <w:szCs w:val="21"/>
                    </w:rPr>
                  </w:pPr>
                  <w:r>
                    <w:rPr>
                      <w:rFonts w:hint="eastAsia" w:ascii="宋体" w:hAnsi="宋体"/>
                      <w:szCs w:val="21"/>
                    </w:rPr>
                    <w:t>负责人：</w:t>
                  </w:r>
                  <w:r>
                    <w:rPr>
                      <w:rStyle w:val="36"/>
                      <w:rFonts w:ascii="Times New Roman" w:hAnsi="Times New Roman"/>
                      <w:spacing w:val="4"/>
                      <w:sz w:val="21"/>
                      <w:szCs w:val="21"/>
                    </w:rPr>
                    <w:t>李诵剑</w:t>
                  </w:r>
                </w:p>
              </w:txbxContent>
            </v:textbox>
          </v:rect>
        </w:pict>
      </w:r>
      <w:r>
        <w:pict>
          <v:rect id="矩形 9" o:spid="_x0000_s2094" o:spt="1" style="position:absolute;left:0pt;margin-left:21.3pt;margin-top:11.25pt;height:88.35pt;width:45.45pt;z-index:251700224;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">
            <v:path/>
            <v:fill focussize="0,0"/>
            <v:stroke/>
            <v:imagedata o:title=""/>
            <o:lock v:ext="edit"/>
            <v:textbox style="layout-flow:vertical-ideographic;">
              <w:txbxContent>
                <w:p>
                  <w:pPr>
                    <w:rPr>
                      <w:rFonts w:ascii="宋体" w:hAnsi="宋体"/>
                      <w:sz w:val="18"/>
                      <w:szCs w:val="20"/>
                    </w:rPr>
                  </w:pPr>
                  <w:r>
                    <w:rPr>
                      <w:rFonts w:hint="eastAsia" w:ascii="宋体" w:hAnsi="宋体"/>
                      <w:szCs w:val="21"/>
                    </w:rPr>
                    <w:t>应急救援办公室负责人：</w:t>
                  </w:r>
                  <w:r>
                    <w:rPr>
                      <w:rStyle w:val="36"/>
                      <w:rFonts w:ascii="Times New Roman" w:hAnsi="Times New Roman"/>
                      <w:spacing w:val="4"/>
                      <w:sz w:val="21"/>
                      <w:szCs w:val="21"/>
                    </w:rPr>
                    <w:t>熊艳红</w:t>
                  </w:r>
                </w:p>
              </w:txbxContent>
            </v:textbox>
          </v:rect>
        </w:pict>
      </w:r>
    </w:p>
    <w:p>
      <w:pPr>
        <w:widowControl/>
        <w:spacing w:before="100" w:beforeAutospacing="1" w:after="100" w:afterAutospacing="1" w:line="336" w:lineRule="auto"/>
        <w:jc w:val="center"/>
        <w:rPr>
          <w:b/>
          <w:color w:val="000000"/>
          <w:kern w:val="0"/>
          <w:sz w:val="24"/>
        </w:rPr>
      </w:pPr>
    </w:p>
    <w:p>
      <w:pPr>
        <w:widowControl/>
        <w:spacing w:before="100" w:beforeAutospacing="1" w:after="100" w:afterAutospacing="1" w:line="336" w:lineRule="auto"/>
        <w:jc w:val="both"/>
        <w:rPr>
          <w:rFonts w:ascii="Times New Roman" w:hAnsi="Times New Roman" w:cs="Times New Roman"/>
          <w:b/>
          <w:color w:val="000000" w:themeColor="text1"/>
          <w:kern w:val="0"/>
          <w:sz w:val="24"/>
          <w:szCs w:val="24"/>
        </w:rPr>
      </w:pPr>
    </w:p>
    <w:p>
      <w:pPr>
        <w:keepNext/>
        <w:keepLines/>
        <w:spacing w:beforeLines="100" w:afterLines="100" w:line="500" w:lineRule="exact"/>
        <w:jc w:val="left"/>
        <w:outlineLvl w:val="1"/>
        <w:rPr>
          <w:rFonts w:ascii="Times New Roman" w:hAnsi="Times New Roman" w:cs="Times New Roman"/>
          <w:b/>
          <w:bCs/>
          <w:color w:val="000000" w:themeColor="text1"/>
          <w:kern w:val="44"/>
          <w:sz w:val="24"/>
          <w:szCs w:val="24"/>
        </w:rPr>
      </w:pPr>
      <w:bookmarkStart w:id="404" w:name="_Toc27222"/>
      <w:bookmarkStart w:id="405" w:name="_Toc8148"/>
      <w:bookmarkStart w:id="406" w:name="_Toc13494_WPSOffice_Level2"/>
      <w:bookmarkStart w:id="407" w:name="_Toc13095"/>
      <w:bookmarkStart w:id="408" w:name="_Toc532817043"/>
      <w:bookmarkStart w:id="409" w:name="_Toc13324_WPSOffice_Level2"/>
      <w:bookmarkStart w:id="410" w:name="_Toc18113"/>
      <w:bookmarkStart w:id="411" w:name="_Toc16749_WPSOffice_Level2"/>
      <w:bookmarkStart w:id="412" w:name="_Toc8749_WPSOffice_Level2"/>
      <w:bookmarkStart w:id="413" w:name="_Toc7502_WPSOffice_Level2"/>
      <w:r>
        <w:rPr>
          <w:rFonts w:ascii="Times New Roman" w:hAnsi="Times New Roman" w:cs="Times New Roman"/>
          <w:b/>
          <w:bCs/>
          <w:color w:val="000000" w:themeColor="text1"/>
          <w:kern w:val="44"/>
          <w:sz w:val="24"/>
          <w:szCs w:val="24"/>
        </w:rPr>
        <w:t>4.2指挥机构及职责</w:t>
      </w:r>
      <w:bookmarkEnd w:id="404"/>
      <w:bookmarkEnd w:id="405"/>
      <w:bookmarkEnd w:id="406"/>
      <w:bookmarkEnd w:id="407"/>
      <w:bookmarkEnd w:id="408"/>
      <w:bookmarkEnd w:id="409"/>
      <w:bookmarkEnd w:id="410"/>
      <w:bookmarkEnd w:id="411"/>
      <w:bookmarkEnd w:id="412"/>
      <w:bookmarkEnd w:id="413"/>
    </w:p>
    <w:p>
      <w:pPr>
        <w:spacing w:line="500" w:lineRule="exact"/>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公司内部指挥机构</w:t>
      </w:r>
    </w:p>
    <w:p>
      <w:pPr>
        <w:spacing w:line="500" w:lineRule="exact"/>
        <w:ind w:firstLine="480" w:firstLineChars="200"/>
        <w:rPr>
          <w:rStyle w:val="36"/>
          <w:rFonts w:ascii="Times New Roman" w:hAnsi="Times New Roman"/>
          <w:spacing w:val="4"/>
          <w:sz w:val="24"/>
          <w:szCs w:val="24"/>
        </w:rPr>
      </w:pPr>
      <w:r>
        <w:rPr>
          <w:rFonts w:ascii="Times New Roman" w:hAnsi="Times New Roman" w:cs="Times New Roman"/>
          <w:color w:val="000000" w:themeColor="text1"/>
          <w:sz w:val="24"/>
          <w:szCs w:val="24"/>
        </w:rPr>
        <w:t>一级指挥（总指挥）：</w:t>
      </w:r>
      <w:r>
        <w:rPr>
          <w:rStyle w:val="36"/>
          <w:rFonts w:ascii="Times New Roman" w:hAnsi="Times New Roman"/>
          <w:spacing w:val="4"/>
          <w:sz w:val="24"/>
          <w:szCs w:val="24"/>
        </w:rPr>
        <w:t>李诵剑</w:t>
      </w:r>
    </w:p>
    <w:p>
      <w:pPr>
        <w:spacing w:line="500" w:lineRule="exact"/>
        <w:ind w:firstLine="480" w:firstLineChars="200"/>
        <w:rPr>
          <w:rStyle w:val="36"/>
          <w:rFonts w:ascii="Times New Roman" w:hAnsi="Times New Roman"/>
          <w:spacing w:val="4"/>
          <w:sz w:val="24"/>
          <w:szCs w:val="24"/>
        </w:rPr>
      </w:pPr>
      <w:r>
        <w:rPr>
          <w:rFonts w:ascii="Times New Roman" w:hAnsi="Times New Roman" w:cs="Times New Roman"/>
          <w:color w:val="000000" w:themeColor="text1"/>
          <w:sz w:val="24"/>
          <w:szCs w:val="24"/>
        </w:rPr>
        <w:t>二级指挥（副总指挥）：</w:t>
      </w:r>
      <w:r>
        <w:rPr>
          <w:rStyle w:val="36"/>
          <w:rFonts w:ascii="Times New Roman" w:hAnsi="Times New Roman"/>
          <w:spacing w:val="4"/>
          <w:sz w:val="24"/>
          <w:szCs w:val="24"/>
        </w:rPr>
        <w:t>陈和川</w:t>
      </w:r>
    </w:p>
    <w:p>
      <w:pPr>
        <w:spacing w:line="500" w:lineRule="exact"/>
        <w:ind w:firstLine="480" w:firstLineChars="200"/>
        <w:rPr>
          <w:rStyle w:val="36"/>
          <w:rFonts w:ascii="Times New Roman" w:hAnsi="Times New Roman"/>
          <w:spacing w:val="4"/>
          <w:sz w:val="24"/>
          <w:szCs w:val="24"/>
        </w:rPr>
      </w:pPr>
      <w:r>
        <w:rPr>
          <w:rFonts w:ascii="Times New Roman" w:hAnsi="Times New Roman" w:cs="Times New Roman"/>
          <w:color w:val="000000" w:themeColor="text1"/>
          <w:sz w:val="24"/>
          <w:szCs w:val="24"/>
        </w:rPr>
        <w:t>应急救援办公室负责人：</w:t>
      </w:r>
      <w:r>
        <w:rPr>
          <w:rStyle w:val="36"/>
          <w:rFonts w:ascii="Times New Roman" w:hAnsi="Times New Roman"/>
          <w:spacing w:val="4"/>
          <w:sz w:val="24"/>
          <w:szCs w:val="24"/>
        </w:rPr>
        <w:t>熊艳红</w:t>
      </w:r>
    </w:p>
    <w:p>
      <w:pPr>
        <w:spacing w:line="500" w:lineRule="exact"/>
        <w:ind w:firstLine="480" w:firstLineChars="200"/>
        <w:rPr>
          <w:rStyle w:val="36"/>
          <w:rFonts w:ascii="Times New Roman" w:hAnsi="Times New Roman"/>
          <w:spacing w:val="4"/>
          <w:sz w:val="24"/>
          <w:szCs w:val="24"/>
        </w:rPr>
      </w:pPr>
      <w:r>
        <w:rPr>
          <w:rFonts w:ascii="Times New Roman" w:hAnsi="Times New Roman" w:cs="Times New Roman"/>
          <w:color w:val="000000" w:themeColor="text1"/>
          <w:sz w:val="24"/>
          <w:szCs w:val="24"/>
        </w:rPr>
        <w:t>物资、后勤保障组负责人：</w:t>
      </w:r>
      <w:r>
        <w:rPr>
          <w:rStyle w:val="36"/>
          <w:rFonts w:ascii="Times New Roman" w:hAnsi="Times New Roman"/>
          <w:spacing w:val="4"/>
          <w:sz w:val="24"/>
          <w:szCs w:val="24"/>
        </w:rPr>
        <w:t>李诵剑</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lang w:val="zh-CN"/>
        </w:rPr>
        <w:t>公司值班电话：</w:t>
      </w:r>
      <w:r>
        <w:rPr>
          <w:rFonts w:hint="default" w:ascii="Times New Roman" w:hAnsi="Times New Roman" w:cs="Times New Roman"/>
          <w:color w:val="auto"/>
          <w:sz w:val="24"/>
          <w:szCs w:val="24"/>
          <w:lang w:val="en-US" w:eastAsia="zh-CN"/>
        </w:rPr>
        <w:t>15979192143</w:t>
      </w:r>
    </w:p>
    <w:p>
      <w:pPr>
        <w:spacing w:line="360" w:lineRule="auto"/>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外部保障体系</w:t>
      </w:r>
    </w:p>
    <w:tbl>
      <w:tblPr>
        <w:tblStyle w:val="14"/>
        <w:tblpPr w:leftFromText="180" w:rightFromText="180" w:vertAnchor="text" w:horzAnchor="page" w:tblpX="956" w:tblpY="311"/>
        <w:tblOverlap w:val="never"/>
        <w:tblW w:w="9962" w:type="dxa"/>
        <w:tblInd w:w="0" w:type="dxa"/>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Layout w:type="fixed"/>
        <w:tblCellMar>
          <w:top w:w="0" w:type="dxa"/>
          <w:left w:w="0" w:type="dxa"/>
          <w:bottom w:w="0" w:type="dxa"/>
          <w:right w:w="0" w:type="dxa"/>
        </w:tblCellMar>
      </w:tblPr>
      <w:tblGrid>
        <w:gridCol w:w="703"/>
        <w:gridCol w:w="4190"/>
        <w:gridCol w:w="1057"/>
        <w:gridCol w:w="2289"/>
        <w:gridCol w:w="1723"/>
      </w:tblGrid>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70" w:hRule="atLeast"/>
        </w:trPr>
        <w:tc>
          <w:tcPr>
            <w:tcW w:w="703" w:type="dxa"/>
            <w:tcBorders>
              <w:tl2br w:val="nil"/>
              <w:tr2bl w:val="nil"/>
            </w:tcBorders>
            <w:vAlign w:val="center"/>
          </w:tcPr>
          <w:p>
            <w:pPr>
              <w:ind w:firstLineChars="0"/>
              <w:jc w:val="center"/>
              <w:rPr>
                <w:rStyle w:val="36"/>
                <w:rFonts w:hint="eastAsia" w:asciiTheme="minorEastAsia" w:hAnsiTheme="minorEastAsia" w:eastAsiaTheme="minorEastAsia" w:cstheme="minorEastAsia"/>
                <w:b/>
                <w:bCs/>
                <w:color w:val="auto"/>
                <w:kern w:val="0"/>
                <w:sz w:val="21"/>
                <w:szCs w:val="21"/>
              </w:rPr>
            </w:pPr>
            <w:r>
              <w:rPr>
                <w:rStyle w:val="36"/>
                <w:rFonts w:hint="eastAsia" w:asciiTheme="minorEastAsia" w:hAnsiTheme="minorEastAsia" w:eastAsiaTheme="minorEastAsia" w:cstheme="minorEastAsia"/>
                <w:b/>
                <w:bCs/>
                <w:color w:val="auto"/>
                <w:kern w:val="0"/>
                <w:sz w:val="21"/>
                <w:szCs w:val="21"/>
              </w:rPr>
              <w:t>序号</w:t>
            </w:r>
          </w:p>
        </w:tc>
        <w:tc>
          <w:tcPr>
            <w:tcW w:w="4190" w:type="dxa"/>
            <w:tcBorders>
              <w:tl2br w:val="nil"/>
              <w:tr2bl w:val="nil"/>
            </w:tcBorders>
            <w:vAlign w:val="center"/>
          </w:tcPr>
          <w:p>
            <w:pPr>
              <w:ind w:firstLineChars="0"/>
              <w:jc w:val="center"/>
              <w:rPr>
                <w:rStyle w:val="36"/>
                <w:rFonts w:hint="eastAsia" w:asciiTheme="minorEastAsia" w:hAnsiTheme="minorEastAsia" w:eastAsiaTheme="minorEastAsia" w:cstheme="minorEastAsia"/>
                <w:b/>
                <w:bCs/>
                <w:color w:val="auto"/>
                <w:kern w:val="0"/>
                <w:sz w:val="21"/>
                <w:szCs w:val="21"/>
              </w:rPr>
            </w:pPr>
            <w:r>
              <w:rPr>
                <w:rStyle w:val="36"/>
                <w:rFonts w:hint="eastAsia" w:asciiTheme="minorEastAsia" w:hAnsiTheme="minorEastAsia" w:eastAsiaTheme="minorEastAsia" w:cstheme="minorEastAsia"/>
                <w:b/>
                <w:bCs/>
                <w:color w:val="auto"/>
                <w:kern w:val="0"/>
                <w:sz w:val="21"/>
                <w:szCs w:val="21"/>
              </w:rPr>
              <w:t>部门/职务</w:t>
            </w:r>
          </w:p>
        </w:tc>
        <w:tc>
          <w:tcPr>
            <w:tcW w:w="1057" w:type="dxa"/>
            <w:tcBorders>
              <w:tl2br w:val="nil"/>
              <w:tr2bl w:val="nil"/>
            </w:tcBorders>
            <w:vAlign w:val="center"/>
          </w:tcPr>
          <w:p>
            <w:pPr>
              <w:ind w:firstLineChars="0"/>
              <w:jc w:val="center"/>
              <w:rPr>
                <w:rStyle w:val="36"/>
                <w:rFonts w:hint="eastAsia" w:asciiTheme="minorEastAsia" w:hAnsiTheme="minorEastAsia" w:eastAsiaTheme="minorEastAsia" w:cstheme="minorEastAsia"/>
                <w:b/>
                <w:bCs/>
                <w:color w:val="auto"/>
                <w:kern w:val="0"/>
                <w:sz w:val="21"/>
                <w:szCs w:val="21"/>
              </w:rPr>
            </w:pPr>
            <w:r>
              <w:rPr>
                <w:rStyle w:val="36"/>
                <w:rFonts w:hint="eastAsia" w:asciiTheme="minorEastAsia" w:hAnsiTheme="minorEastAsia" w:eastAsiaTheme="minorEastAsia" w:cstheme="minorEastAsia"/>
                <w:b/>
                <w:bCs/>
                <w:color w:val="auto"/>
                <w:kern w:val="0"/>
                <w:sz w:val="21"/>
                <w:szCs w:val="21"/>
              </w:rPr>
              <w:t>联系人</w:t>
            </w:r>
          </w:p>
        </w:tc>
        <w:tc>
          <w:tcPr>
            <w:tcW w:w="2289" w:type="dxa"/>
            <w:tcBorders>
              <w:tl2br w:val="nil"/>
              <w:tr2bl w:val="nil"/>
            </w:tcBorders>
            <w:vAlign w:val="center"/>
          </w:tcPr>
          <w:p>
            <w:pPr>
              <w:ind w:firstLineChars="0"/>
              <w:jc w:val="center"/>
              <w:rPr>
                <w:rStyle w:val="36"/>
                <w:rFonts w:hint="eastAsia" w:asciiTheme="minorEastAsia" w:hAnsiTheme="minorEastAsia" w:eastAsiaTheme="minorEastAsia" w:cstheme="minorEastAsia"/>
                <w:b/>
                <w:bCs/>
                <w:color w:val="auto"/>
                <w:kern w:val="0"/>
                <w:sz w:val="21"/>
                <w:szCs w:val="21"/>
              </w:rPr>
            </w:pPr>
            <w:r>
              <w:rPr>
                <w:rStyle w:val="36"/>
                <w:rFonts w:hint="eastAsia" w:asciiTheme="minorEastAsia" w:hAnsiTheme="minorEastAsia" w:eastAsiaTheme="minorEastAsia" w:cstheme="minorEastAsia"/>
                <w:b/>
                <w:bCs/>
                <w:color w:val="auto"/>
                <w:kern w:val="0"/>
                <w:sz w:val="21"/>
                <w:szCs w:val="21"/>
              </w:rPr>
              <w:t>联系电话</w:t>
            </w:r>
          </w:p>
        </w:tc>
        <w:tc>
          <w:tcPr>
            <w:tcW w:w="1723" w:type="dxa"/>
            <w:tcBorders>
              <w:tl2br w:val="nil"/>
              <w:tr2bl w:val="nil"/>
            </w:tcBorders>
            <w:vAlign w:val="center"/>
          </w:tcPr>
          <w:p>
            <w:pPr>
              <w:ind w:firstLineChars="0"/>
              <w:jc w:val="center"/>
              <w:rPr>
                <w:rStyle w:val="36"/>
                <w:rFonts w:hint="eastAsia" w:asciiTheme="minorEastAsia" w:hAnsiTheme="minorEastAsia" w:eastAsiaTheme="minorEastAsia" w:cstheme="minorEastAsia"/>
                <w:b/>
                <w:bCs/>
                <w:color w:val="auto"/>
                <w:kern w:val="0"/>
                <w:sz w:val="21"/>
                <w:szCs w:val="21"/>
              </w:rPr>
            </w:pPr>
            <w:r>
              <w:rPr>
                <w:rStyle w:val="36"/>
                <w:rFonts w:hint="eastAsia" w:asciiTheme="minorEastAsia" w:hAnsiTheme="minorEastAsia" w:eastAsiaTheme="minorEastAsia" w:cstheme="minorEastAsia"/>
                <w:b/>
                <w:bCs/>
                <w:color w:val="auto"/>
                <w:kern w:val="0"/>
                <w:sz w:val="21"/>
                <w:szCs w:val="21"/>
              </w:rPr>
              <w:t>备注</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trPr>
        <w:tc>
          <w:tcPr>
            <w:tcW w:w="70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eastAsiaTheme="minorEastAsia" w:cstheme="minorEastAsia"/>
                <w:color w:val="auto"/>
                <w:kern w:val="0"/>
                <w:sz w:val="21"/>
                <w:szCs w:val="21"/>
              </w:rPr>
              <w:t>1</w:t>
            </w:r>
          </w:p>
        </w:tc>
        <w:tc>
          <w:tcPr>
            <w:tcW w:w="4190"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南昌市（县）安全生产应急指挥中心</w:t>
            </w:r>
          </w:p>
        </w:tc>
        <w:tc>
          <w:tcPr>
            <w:tcW w:w="1057" w:type="dxa"/>
            <w:tcBorders>
              <w:tl2br w:val="nil"/>
              <w:tr2bl w:val="nil"/>
            </w:tcBorders>
            <w:vAlign w:val="center"/>
          </w:tcPr>
          <w:p>
            <w:pPr>
              <w:pStyle w:val="38"/>
              <w:spacing w:line="240" w:lineRule="auto"/>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金雯婷</w:t>
            </w:r>
          </w:p>
        </w:tc>
        <w:tc>
          <w:tcPr>
            <w:tcW w:w="2289"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87830820</w:t>
            </w:r>
          </w:p>
        </w:tc>
        <w:tc>
          <w:tcPr>
            <w:tcW w:w="172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trPr>
        <w:tc>
          <w:tcPr>
            <w:tcW w:w="70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eastAsiaTheme="minorEastAsia" w:cstheme="minorEastAsia"/>
                <w:color w:val="auto"/>
                <w:kern w:val="0"/>
                <w:sz w:val="21"/>
                <w:szCs w:val="21"/>
              </w:rPr>
              <w:t>2</w:t>
            </w:r>
          </w:p>
        </w:tc>
        <w:tc>
          <w:tcPr>
            <w:tcW w:w="4190"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南昌市（县）应急救援中心</w:t>
            </w:r>
          </w:p>
        </w:tc>
        <w:tc>
          <w:tcPr>
            <w:tcW w:w="1057"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戴晓望</w:t>
            </w:r>
          </w:p>
        </w:tc>
        <w:tc>
          <w:tcPr>
            <w:tcW w:w="2289"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83986153</w:t>
            </w:r>
          </w:p>
        </w:tc>
        <w:tc>
          <w:tcPr>
            <w:tcW w:w="172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PrEx>
        <w:trPr>
          <w:trHeight w:val="285" w:hRule="atLeast"/>
        </w:trPr>
        <w:tc>
          <w:tcPr>
            <w:tcW w:w="70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eastAsiaTheme="minorEastAsia" w:cstheme="minorEastAsia"/>
                <w:color w:val="auto"/>
                <w:kern w:val="0"/>
                <w:sz w:val="21"/>
                <w:szCs w:val="21"/>
              </w:rPr>
              <w:t>3</w:t>
            </w:r>
          </w:p>
        </w:tc>
        <w:tc>
          <w:tcPr>
            <w:tcW w:w="4190"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南昌市（县）安监局副局长</w:t>
            </w:r>
          </w:p>
        </w:tc>
        <w:tc>
          <w:tcPr>
            <w:tcW w:w="1057"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万平</w:t>
            </w:r>
          </w:p>
        </w:tc>
        <w:tc>
          <w:tcPr>
            <w:tcW w:w="2289"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13507093311</w:t>
            </w:r>
          </w:p>
        </w:tc>
        <w:tc>
          <w:tcPr>
            <w:tcW w:w="172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trPr>
        <w:tc>
          <w:tcPr>
            <w:tcW w:w="70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eastAsiaTheme="minorEastAsia" w:cstheme="minorEastAsia"/>
                <w:color w:val="auto"/>
                <w:kern w:val="0"/>
                <w:sz w:val="21"/>
                <w:szCs w:val="21"/>
              </w:rPr>
              <w:t>4</w:t>
            </w:r>
          </w:p>
        </w:tc>
        <w:tc>
          <w:tcPr>
            <w:tcW w:w="4190"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南昌市（县）职业健康副局长</w:t>
            </w:r>
          </w:p>
        </w:tc>
        <w:tc>
          <w:tcPr>
            <w:tcW w:w="1057"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卢瑾萍</w:t>
            </w:r>
          </w:p>
        </w:tc>
        <w:tc>
          <w:tcPr>
            <w:tcW w:w="2289"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18079133835</w:t>
            </w:r>
          </w:p>
        </w:tc>
        <w:tc>
          <w:tcPr>
            <w:tcW w:w="172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PrEx>
        <w:trPr>
          <w:trHeight w:val="285" w:hRule="atLeast"/>
        </w:trPr>
        <w:tc>
          <w:tcPr>
            <w:tcW w:w="70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eastAsiaTheme="minorEastAsia" w:cstheme="minorEastAsia"/>
                <w:color w:val="auto"/>
                <w:kern w:val="0"/>
                <w:sz w:val="21"/>
                <w:szCs w:val="21"/>
              </w:rPr>
              <w:t>5</w:t>
            </w:r>
          </w:p>
        </w:tc>
        <w:tc>
          <w:tcPr>
            <w:tcW w:w="4190"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南昌市（县）安监局办公室</w:t>
            </w:r>
          </w:p>
        </w:tc>
        <w:tc>
          <w:tcPr>
            <w:tcW w:w="1057"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c>
          <w:tcPr>
            <w:tcW w:w="2289"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13732935436/83986158</w:t>
            </w:r>
          </w:p>
        </w:tc>
        <w:tc>
          <w:tcPr>
            <w:tcW w:w="172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trPr>
        <w:tc>
          <w:tcPr>
            <w:tcW w:w="70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eastAsiaTheme="minorEastAsia" w:cstheme="minorEastAsia"/>
                <w:color w:val="auto"/>
                <w:kern w:val="0"/>
                <w:sz w:val="21"/>
                <w:szCs w:val="21"/>
              </w:rPr>
              <w:t>6</w:t>
            </w:r>
          </w:p>
        </w:tc>
        <w:tc>
          <w:tcPr>
            <w:tcW w:w="4190"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南昌市（县）安监局执法大队长</w:t>
            </w:r>
          </w:p>
        </w:tc>
        <w:tc>
          <w:tcPr>
            <w:tcW w:w="1057"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c>
          <w:tcPr>
            <w:tcW w:w="2289"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83839641</w:t>
            </w:r>
          </w:p>
        </w:tc>
        <w:tc>
          <w:tcPr>
            <w:tcW w:w="172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trPr>
        <w:tc>
          <w:tcPr>
            <w:tcW w:w="70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eastAsiaTheme="minorEastAsia" w:cstheme="minorEastAsia"/>
                <w:color w:val="auto"/>
                <w:kern w:val="0"/>
                <w:sz w:val="21"/>
                <w:szCs w:val="21"/>
              </w:rPr>
              <w:t>7</w:t>
            </w:r>
          </w:p>
        </w:tc>
        <w:tc>
          <w:tcPr>
            <w:tcW w:w="4190" w:type="dxa"/>
            <w:tcBorders>
              <w:tl2br w:val="nil"/>
              <w:tr2bl w:val="nil"/>
            </w:tcBorders>
            <w:vAlign w:val="bottom"/>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南昌市（县）消防大队大队长</w:t>
            </w:r>
          </w:p>
        </w:tc>
        <w:tc>
          <w:tcPr>
            <w:tcW w:w="1057" w:type="dxa"/>
            <w:tcBorders>
              <w:tl2br w:val="nil"/>
              <w:tr2bl w:val="nil"/>
            </w:tcBorders>
            <w:vAlign w:val="bottom"/>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陈峰</w:t>
            </w:r>
          </w:p>
        </w:tc>
        <w:tc>
          <w:tcPr>
            <w:tcW w:w="2289" w:type="dxa"/>
            <w:tcBorders>
              <w:tl2br w:val="nil"/>
              <w:tr2bl w:val="nil"/>
            </w:tcBorders>
            <w:vAlign w:val="bottom"/>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18970016631</w:t>
            </w:r>
          </w:p>
        </w:tc>
        <w:tc>
          <w:tcPr>
            <w:tcW w:w="172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trPr>
        <w:tc>
          <w:tcPr>
            <w:tcW w:w="703" w:type="dxa"/>
            <w:tcBorders>
              <w:tl2br w:val="nil"/>
              <w:tr2bl w:val="nil"/>
            </w:tcBorders>
            <w:vAlign w:val="center"/>
          </w:tcPr>
          <w:p>
            <w:pPr>
              <w:ind w:firstLine="0"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cstheme="minorEastAsia"/>
                <w:color w:val="FF0000"/>
                <w:kern w:val="0"/>
                <w:sz w:val="21"/>
                <w:szCs w:val="21"/>
                <w:lang w:val="en-US" w:eastAsia="zh-CN"/>
              </w:rPr>
              <w:t>8</w:t>
            </w:r>
          </w:p>
        </w:tc>
        <w:tc>
          <w:tcPr>
            <w:tcW w:w="4190" w:type="dxa"/>
            <w:tcBorders>
              <w:tl2br w:val="nil"/>
              <w:tr2bl w:val="nil"/>
            </w:tcBorders>
            <w:vAlign w:val="bottom"/>
          </w:tcPr>
          <w:p>
            <w:pPr>
              <w:ind w:firstLine="0"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cstheme="minorEastAsia"/>
                <w:color w:val="FF0000"/>
                <w:sz w:val="21"/>
                <w:szCs w:val="21"/>
                <w:lang w:val="en-US" w:eastAsia="zh-CN"/>
              </w:rPr>
              <w:t>南昌市新建区人民政府办公室</w:t>
            </w:r>
          </w:p>
        </w:tc>
        <w:tc>
          <w:tcPr>
            <w:tcW w:w="1057" w:type="dxa"/>
            <w:tcBorders>
              <w:tl2br w:val="nil"/>
              <w:tr2bl w:val="nil"/>
            </w:tcBorders>
            <w:vAlign w:val="bottom"/>
          </w:tcPr>
          <w:p>
            <w:pPr>
              <w:ind w:firstLine="0"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cstheme="minorEastAsia"/>
                <w:color w:val="FF0000"/>
                <w:sz w:val="21"/>
                <w:szCs w:val="21"/>
                <w:lang w:val="en-US" w:eastAsia="zh-CN"/>
              </w:rPr>
              <w:t>/</w:t>
            </w:r>
          </w:p>
        </w:tc>
        <w:tc>
          <w:tcPr>
            <w:tcW w:w="2289" w:type="dxa"/>
            <w:tcBorders>
              <w:tl2br w:val="nil"/>
              <w:tr2bl w:val="nil"/>
            </w:tcBorders>
            <w:vAlign w:val="bottom"/>
          </w:tcPr>
          <w:p>
            <w:pPr>
              <w:ind w:firstLine="0" w:firstLineChars="0"/>
              <w:jc w:val="center"/>
              <w:rPr>
                <w:rStyle w:val="36"/>
                <w:rFonts w:hint="default" w:ascii="Times New Roman" w:hAnsi="Times New Roman" w:cs="Times New Roman" w:eastAsiaTheme="minorEastAsia"/>
                <w:color w:val="auto"/>
                <w:sz w:val="21"/>
                <w:szCs w:val="21"/>
              </w:rPr>
            </w:pPr>
            <w:r>
              <w:rPr>
                <w:rFonts w:ascii="Arial" w:hAnsi="Arial" w:eastAsia="宋体" w:cs="Arial"/>
                <w:i w:val="0"/>
                <w:caps w:val="0"/>
                <w:color w:val="FF0000"/>
                <w:spacing w:val="0"/>
                <w:sz w:val="15"/>
                <w:szCs w:val="15"/>
                <w:shd w:val="clear" w:fill="FFFFFF"/>
              </w:rPr>
              <w:t>:</w:t>
            </w:r>
            <w:r>
              <w:rPr>
                <w:rStyle w:val="36"/>
                <w:rFonts w:hint="default" w:ascii="Times New Roman" w:hAnsi="Times New Roman" w:cs="Times New Roman" w:eastAsiaTheme="minorEastAsia"/>
                <w:color w:val="FF0000"/>
                <w:sz w:val="21"/>
                <w:szCs w:val="21"/>
              </w:rPr>
              <w:t>0791-83702579</w:t>
            </w:r>
          </w:p>
        </w:tc>
        <w:tc>
          <w:tcPr>
            <w:tcW w:w="1723" w:type="dxa"/>
            <w:tcBorders>
              <w:tl2br w:val="nil"/>
              <w:tr2bl w:val="nil"/>
            </w:tcBorders>
            <w:vAlign w:val="center"/>
          </w:tcPr>
          <w:p>
            <w:pPr>
              <w:ind w:firstLine="0"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trPr>
        <w:tc>
          <w:tcPr>
            <w:tcW w:w="70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lang w:eastAsia="zh-CN"/>
              </w:rPr>
            </w:pPr>
            <w:r>
              <w:rPr>
                <w:rStyle w:val="36"/>
                <w:rFonts w:hint="eastAsia" w:asciiTheme="minorEastAsia" w:hAnsiTheme="minorEastAsia" w:cstheme="minorEastAsia"/>
                <w:color w:val="auto"/>
                <w:kern w:val="0"/>
                <w:sz w:val="21"/>
                <w:szCs w:val="21"/>
                <w:lang w:val="en-US" w:eastAsia="zh-CN"/>
              </w:rPr>
              <w:t>9</w:t>
            </w:r>
          </w:p>
        </w:tc>
        <w:tc>
          <w:tcPr>
            <w:tcW w:w="4190"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消防火灾报警电话</w:t>
            </w:r>
          </w:p>
        </w:tc>
        <w:tc>
          <w:tcPr>
            <w:tcW w:w="1057"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w:t>
            </w:r>
          </w:p>
        </w:tc>
        <w:tc>
          <w:tcPr>
            <w:tcW w:w="2289"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119</w:t>
            </w:r>
          </w:p>
        </w:tc>
        <w:tc>
          <w:tcPr>
            <w:tcW w:w="1723" w:type="dxa"/>
            <w:tcBorders>
              <w:tl2br w:val="nil"/>
              <w:tr2bl w:val="nil"/>
            </w:tcBorders>
            <w:vAlign w:val="bottom"/>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　</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trPr>
        <w:tc>
          <w:tcPr>
            <w:tcW w:w="703" w:type="dxa"/>
            <w:tcBorders>
              <w:tl2br w:val="nil"/>
              <w:tr2bl w:val="nil"/>
            </w:tcBorders>
            <w:vAlign w:val="center"/>
          </w:tcPr>
          <w:p>
            <w:pPr>
              <w:ind w:firstLineChars="0"/>
              <w:jc w:val="center"/>
              <w:rPr>
                <w:rStyle w:val="36"/>
                <w:rFonts w:hint="default" w:asciiTheme="minorEastAsia" w:hAnsiTheme="minorEastAsia" w:eastAsiaTheme="minorEastAsia" w:cstheme="minorEastAsia"/>
                <w:color w:val="auto"/>
                <w:kern w:val="0"/>
                <w:sz w:val="21"/>
                <w:szCs w:val="21"/>
                <w:lang w:val="en-US" w:eastAsia="zh-CN"/>
              </w:rPr>
            </w:pPr>
            <w:r>
              <w:rPr>
                <w:rStyle w:val="36"/>
                <w:rFonts w:hint="eastAsia" w:asciiTheme="minorEastAsia" w:hAnsiTheme="minorEastAsia" w:cstheme="minorEastAsia"/>
                <w:color w:val="auto"/>
                <w:kern w:val="0"/>
                <w:sz w:val="21"/>
                <w:szCs w:val="21"/>
                <w:lang w:val="en-US" w:eastAsia="zh-CN"/>
              </w:rPr>
              <w:t>10</w:t>
            </w:r>
          </w:p>
        </w:tc>
        <w:tc>
          <w:tcPr>
            <w:tcW w:w="4190"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医疗急救电话</w:t>
            </w:r>
          </w:p>
        </w:tc>
        <w:tc>
          <w:tcPr>
            <w:tcW w:w="1057"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w:t>
            </w:r>
          </w:p>
        </w:tc>
        <w:tc>
          <w:tcPr>
            <w:tcW w:w="2289"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120</w:t>
            </w:r>
          </w:p>
        </w:tc>
        <w:tc>
          <w:tcPr>
            <w:tcW w:w="172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　</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75" w:hRule="atLeast"/>
        </w:trPr>
        <w:tc>
          <w:tcPr>
            <w:tcW w:w="70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lang w:eastAsia="zh-CN"/>
              </w:rPr>
            </w:pPr>
            <w:r>
              <w:rPr>
                <w:rStyle w:val="36"/>
                <w:rFonts w:hint="eastAsia" w:asciiTheme="minorEastAsia" w:hAnsiTheme="minorEastAsia" w:eastAsiaTheme="minorEastAsia" w:cstheme="minorEastAsia"/>
                <w:color w:val="auto"/>
                <w:kern w:val="0"/>
                <w:sz w:val="21"/>
                <w:szCs w:val="21"/>
              </w:rPr>
              <w:t>1</w:t>
            </w:r>
            <w:r>
              <w:rPr>
                <w:rStyle w:val="36"/>
                <w:rFonts w:hint="eastAsia" w:asciiTheme="minorEastAsia" w:hAnsiTheme="minorEastAsia" w:cstheme="minorEastAsia"/>
                <w:color w:val="auto"/>
                <w:kern w:val="0"/>
                <w:sz w:val="21"/>
                <w:szCs w:val="21"/>
                <w:lang w:val="en-US" w:eastAsia="zh-CN"/>
              </w:rPr>
              <w:t>1</w:t>
            </w:r>
          </w:p>
        </w:tc>
        <w:tc>
          <w:tcPr>
            <w:tcW w:w="4190"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公安报警电话</w:t>
            </w:r>
          </w:p>
        </w:tc>
        <w:tc>
          <w:tcPr>
            <w:tcW w:w="1057"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w:t>
            </w:r>
          </w:p>
        </w:tc>
        <w:tc>
          <w:tcPr>
            <w:tcW w:w="2289"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110</w:t>
            </w:r>
          </w:p>
        </w:tc>
        <w:tc>
          <w:tcPr>
            <w:tcW w:w="172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　</w:t>
            </w:r>
          </w:p>
        </w:tc>
      </w:tr>
    </w:tbl>
    <w:p>
      <w:pPr>
        <w:spacing w:line="500" w:lineRule="exact"/>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指挥机构的职责</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负责“预案”的制定、修订；组建应急救援专业队伍，组织实施和演练；检查督促做好重大事故的预防措施和应急救援的各项准备工作。发生突发性环境污染事故时,由指挥部发布和解除应急救援命令、信号；组织指挥救援队伍实施救援行动；向上级汇报和向友邻单位通报事故情况，必要时向有关单位发出救援请求，组织救援工作。</w:t>
      </w:r>
    </w:p>
    <w:p>
      <w:pPr>
        <w:spacing w:line="500" w:lineRule="exact"/>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指挥机构成员职责</w:t>
      </w:r>
    </w:p>
    <w:p>
      <w:pPr>
        <w:spacing w:line="500" w:lineRule="exact"/>
        <w:ind w:firstLine="482" w:firstLineChars="200"/>
        <w:rPr>
          <w:rFonts w:ascii="Times New Roman" w:hAnsi="Times New Roman" w:cs="Times New Roman"/>
          <w:b/>
          <w:bCs/>
          <w:color w:val="000000" w:themeColor="text1"/>
          <w:sz w:val="24"/>
          <w:szCs w:val="24"/>
        </w:rPr>
      </w:pPr>
      <w:bookmarkStart w:id="414" w:name="_Toc29421_WPSOffice_Level3"/>
      <w:bookmarkStart w:id="415" w:name="_Toc4116_WPSOffice_Level3"/>
      <w:bookmarkStart w:id="416" w:name="_Toc11939_WPSOffice_Level3"/>
      <w:bookmarkStart w:id="417" w:name="_Toc16749_WPSOffice_Level3"/>
      <w:bookmarkStart w:id="418" w:name="_Toc32611_WPSOffice_Level3"/>
      <w:r>
        <w:rPr>
          <w:rFonts w:ascii="Times New Roman" w:hAnsi="Times New Roman" w:cs="Times New Roman"/>
          <w:b/>
          <w:bCs/>
          <w:color w:val="000000" w:themeColor="text1"/>
          <w:sz w:val="24"/>
          <w:szCs w:val="24"/>
        </w:rPr>
        <w:t>（1）总指挥职责：</w:t>
      </w:r>
      <w:bookmarkEnd w:id="414"/>
      <w:bookmarkEnd w:id="415"/>
      <w:bookmarkEnd w:id="416"/>
      <w:bookmarkEnd w:id="417"/>
      <w:bookmarkEnd w:id="418"/>
    </w:p>
    <w:p>
      <w:pPr>
        <w:spacing w:line="500" w:lineRule="exact"/>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①</w:t>
      </w:r>
      <w:r>
        <w:rPr>
          <w:rFonts w:ascii="Times New Roman" w:hAnsi="Times New Roman" w:cs="Times New Roman"/>
          <w:color w:val="000000" w:themeColor="text1"/>
          <w:sz w:val="24"/>
          <w:szCs w:val="24"/>
        </w:rPr>
        <w:t>组织制定突发环境事件应急预案；</w:t>
      </w:r>
    </w:p>
    <w:p>
      <w:pPr>
        <w:spacing w:line="500" w:lineRule="exact"/>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②</w:t>
      </w:r>
      <w:r>
        <w:rPr>
          <w:rFonts w:ascii="Times New Roman" w:hAnsi="Times New Roman" w:cs="Times New Roman"/>
          <w:color w:val="000000" w:themeColor="text1"/>
          <w:sz w:val="24"/>
          <w:szCs w:val="24"/>
        </w:rPr>
        <w:t>组建突发环境事件应急救援队伍；</w:t>
      </w:r>
    </w:p>
    <w:p>
      <w:pPr>
        <w:spacing w:line="500" w:lineRule="exact"/>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③</w:t>
      </w:r>
      <w:r>
        <w:rPr>
          <w:rFonts w:ascii="Times New Roman" w:hAnsi="Times New Roman" w:cs="Times New Roman"/>
          <w:color w:val="000000" w:themeColor="text1"/>
          <w:sz w:val="24"/>
          <w:szCs w:val="24"/>
        </w:rPr>
        <w:t>负责启动与终止应急工作；</w:t>
      </w:r>
    </w:p>
    <w:p>
      <w:pPr>
        <w:spacing w:line="500" w:lineRule="exact"/>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④</w:t>
      </w:r>
      <w:r>
        <w:rPr>
          <w:rFonts w:ascii="Times New Roman" w:hAnsi="Times New Roman" w:cs="Times New Roman"/>
          <w:color w:val="000000" w:themeColor="text1"/>
          <w:sz w:val="24"/>
          <w:szCs w:val="24"/>
        </w:rPr>
        <w:t>负责掌握突发环境事件状况，根据突发环境事件的发展，确定现场指挥人员，推动应急组织工作的发挥；</w:t>
      </w:r>
    </w:p>
    <w:p>
      <w:pPr>
        <w:spacing w:line="500" w:lineRule="exact"/>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⑤</w:t>
      </w:r>
      <w:r>
        <w:rPr>
          <w:rFonts w:ascii="Times New Roman" w:hAnsi="Times New Roman" w:cs="Times New Roman"/>
          <w:color w:val="000000" w:themeColor="text1"/>
          <w:sz w:val="24"/>
          <w:szCs w:val="24"/>
        </w:rPr>
        <w:t>视突发环境事件状况和可能演化的趋势，判定是否需要外部救援或外借应急物资，接受上级应急救援指挥机构的指令和调动，协助事件的处理；</w:t>
      </w:r>
    </w:p>
    <w:p>
      <w:pPr>
        <w:spacing w:line="500" w:lineRule="exact"/>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⑥</w:t>
      </w:r>
      <w:r>
        <w:rPr>
          <w:rFonts w:ascii="Times New Roman" w:hAnsi="Times New Roman" w:cs="Times New Roman"/>
          <w:color w:val="000000" w:themeColor="text1"/>
          <w:sz w:val="24"/>
          <w:szCs w:val="24"/>
        </w:rPr>
        <w:t>组织内部和对政府的报告，配合有关部门对环境进行监测、修复、事件调查、经验教训总结；</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7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⑦</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每三年组织更新备案，每年组织演练，签署预案发布令等。</w:t>
      </w:r>
    </w:p>
    <w:p>
      <w:pPr>
        <w:spacing w:line="500" w:lineRule="exact"/>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⑧</w:t>
      </w:r>
      <w:r>
        <w:rPr>
          <w:rFonts w:ascii="Times New Roman" w:hAnsi="Times New Roman" w:cs="Times New Roman"/>
          <w:color w:val="000000" w:themeColor="text1"/>
          <w:sz w:val="24"/>
          <w:szCs w:val="24"/>
        </w:rPr>
        <w:t>政府介入后，负责将指挥权移交政府。</w:t>
      </w:r>
    </w:p>
    <w:p>
      <w:pPr>
        <w:spacing w:line="500" w:lineRule="exact"/>
        <w:ind w:firstLine="482" w:firstLineChars="200"/>
        <w:rPr>
          <w:rFonts w:ascii="Times New Roman" w:hAnsi="Times New Roman" w:cs="Times New Roman"/>
          <w:b/>
          <w:bCs/>
          <w:color w:val="000000" w:themeColor="text1"/>
          <w:sz w:val="24"/>
          <w:szCs w:val="24"/>
        </w:rPr>
      </w:pPr>
      <w:bookmarkStart w:id="419" w:name="_Toc25774_WPSOffice_Level3"/>
      <w:bookmarkStart w:id="420" w:name="_Toc25863_WPSOffice_Level3"/>
      <w:bookmarkStart w:id="421" w:name="_Toc13324_WPSOffice_Level3"/>
      <w:bookmarkStart w:id="422" w:name="_Toc13624_WPSOffice_Level3"/>
      <w:bookmarkStart w:id="423" w:name="_Toc20317_WPSOffice_Level3"/>
      <w:r>
        <w:rPr>
          <w:rFonts w:ascii="Times New Roman" w:hAnsi="Times New Roman" w:cs="Times New Roman"/>
          <w:b/>
          <w:bCs/>
          <w:color w:val="000000" w:themeColor="text1"/>
          <w:sz w:val="24"/>
          <w:szCs w:val="24"/>
        </w:rPr>
        <w:t>（2）副总指挥职责：</w:t>
      </w:r>
      <w:bookmarkEnd w:id="419"/>
      <w:bookmarkEnd w:id="420"/>
      <w:bookmarkEnd w:id="421"/>
      <w:bookmarkEnd w:id="422"/>
      <w:bookmarkEnd w:id="423"/>
    </w:p>
    <w:p>
      <w:pPr>
        <w:spacing w:line="500" w:lineRule="exact"/>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①</w:t>
      </w:r>
      <w:r>
        <w:rPr>
          <w:rFonts w:ascii="Times New Roman" w:hAnsi="Times New Roman" w:cs="Times New Roman"/>
          <w:color w:val="000000" w:themeColor="text1"/>
          <w:sz w:val="24"/>
          <w:szCs w:val="24"/>
        </w:rPr>
        <w:t xml:space="preserve"> 协助总指挥负责应急救援的具体操作和实施步骤的协调工作。</w:t>
      </w:r>
    </w:p>
    <w:p>
      <w:pPr>
        <w:spacing w:line="500" w:lineRule="exact"/>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②</w:t>
      </w:r>
      <w:r>
        <w:rPr>
          <w:rFonts w:ascii="Times New Roman" w:hAnsi="Times New Roman" w:cs="Times New Roman"/>
          <w:color w:val="000000" w:themeColor="text1"/>
          <w:sz w:val="24"/>
          <w:szCs w:val="24"/>
        </w:rPr>
        <w:t xml:space="preserve"> 总指挥不能到任时接替总指挥工作。</w:t>
      </w:r>
    </w:p>
    <w:p>
      <w:pPr>
        <w:spacing w:line="50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应急救援办公室职责：</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负责应急救援的日常工作。 </w:t>
      </w:r>
    </w:p>
    <w:p>
      <w:pPr>
        <w:spacing w:line="500" w:lineRule="exact"/>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①</w:t>
      </w:r>
      <w:r>
        <w:rPr>
          <w:rFonts w:ascii="Times New Roman" w:hAnsi="Times New Roman" w:cs="Times New Roman"/>
          <w:color w:val="000000" w:themeColor="text1"/>
          <w:sz w:val="24"/>
          <w:szCs w:val="24"/>
        </w:rPr>
        <w:t>负责人员、应急资源配置、应急队伍的调动；</w:t>
      </w:r>
    </w:p>
    <w:p>
      <w:pPr>
        <w:spacing w:line="500" w:lineRule="exact"/>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②</w:t>
      </w:r>
      <w:r>
        <w:rPr>
          <w:rFonts w:ascii="Times New Roman" w:hAnsi="Times New Roman" w:cs="Times New Roman"/>
          <w:color w:val="000000" w:themeColor="text1"/>
          <w:sz w:val="24"/>
          <w:szCs w:val="24"/>
        </w:rPr>
        <w:t>协调和指挥事故现场处置救援工作；</w:t>
      </w:r>
    </w:p>
    <w:p>
      <w:pPr>
        <w:spacing w:line="500" w:lineRule="exact"/>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③</w:t>
      </w:r>
      <w:r>
        <w:rPr>
          <w:rFonts w:ascii="Times New Roman" w:hAnsi="Times New Roman" w:cs="Times New Roman"/>
          <w:color w:val="000000" w:themeColor="text1"/>
          <w:sz w:val="24"/>
          <w:szCs w:val="24"/>
        </w:rPr>
        <w:t>对事故现场情况进行侦察、评估，协同现场指挥制定抢救方案；</w:t>
      </w:r>
    </w:p>
    <w:p>
      <w:pPr>
        <w:spacing w:line="500" w:lineRule="exact"/>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④</w:t>
      </w:r>
      <w:r>
        <w:rPr>
          <w:rFonts w:ascii="Times New Roman" w:hAnsi="Times New Roman" w:cs="Times New Roman"/>
          <w:color w:val="000000" w:themeColor="text1"/>
          <w:sz w:val="24"/>
          <w:szCs w:val="24"/>
        </w:rPr>
        <w:t>组织本小组所有的力量严格按抢救方案实施现场抢救；</w:t>
      </w:r>
    </w:p>
    <w:p>
      <w:pPr>
        <w:spacing w:line="500" w:lineRule="exact"/>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⑤</w:t>
      </w:r>
      <w:r>
        <w:rPr>
          <w:rFonts w:ascii="Times New Roman" w:hAnsi="Times New Roman" w:cs="Times New Roman"/>
          <w:color w:val="000000" w:themeColor="text1"/>
          <w:sz w:val="24"/>
          <w:szCs w:val="24"/>
        </w:rPr>
        <w:t>监督本小组参与事故处置的应急人员执行有效的应急措施，保证小组内的应急人员的安全；</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6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⑥</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协助政府环保部门展开环境监测工作，</w:t>
      </w:r>
      <w:r>
        <w:rPr>
          <w:rFonts w:ascii="Times New Roman" w:hAnsi="Times New Roman" w:cs="Times New Roman"/>
          <w:color w:val="000000" w:themeColor="text1"/>
          <w:sz w:val="24"/>
          <w:szCs w:val="24"/>
          <w:lang w:val="zh-CN"/>
        </w:rPr>
        <w:t>处理事故发生后的环境遗留问题。</w:t>
      </w:r>
    </w:p>
    <w:p>
      <w:pPr>
        <w:spacing w:line="500" w:lineRule="exact"/>
        <w:ind w:firstLine="482" w:firstLineChars="200"/>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物资后勤保障组职责：</w:t>
      </w:r>
    </w:p>
    <w:p>
      <w:pPr>
        <w:spacing w:line="500" w:lineRule="exact"/>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①</w:t>
      </w:r>
      <w:r>
        <w:rPr>
          <w:rFonts w:ascii="Times New Roman" w:hAnsi="Times New Roman" w:cs="Times New Roman"/>
          <w:color w:val="000000" w:themeColor="text1"/>
          <w:sz w:val="24"/>
          <w:szCs w:val="24"/>
        </w:rPr>
        <w:t>负责站区内外应急救援物资的调配与发放；</w:t>
      </w:r>
    </w:p>
    <w:p>
      <w:pPr>
        <w:spacing w:line="500" w:lineRule="exact"/>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②</w:t>
      </w:r>
      <w:r>
        <w:rPr>
          <w:rFonts w:ascii="Times New Roman" w:hAnsi="Times New Roman" w:cs="Times New Roman"/>
          <w:color w:val="000000" w:themeColor="text1"/>
          <w:sz w:val="24"/>
          <w:szCs w:val="24"/>
        </w:rPr>
        <w:t>负责做好应急资金的保障工作；</w:t>
      </w:r>
    </w:p>
    <w:p>
      <w:pPr>
        <w:spacing w:line="500" w:lineRule="exact"/>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③</w:t>
      </w:r>
      <w:r>
        <w:rPr>
          <w:rFonts w:ascii="Times New Roman" w:hAnsi="Times New Roman" w:cs="Times New Roman"/>
          <w:color w:val="000000" w:themeColor="text1"/>
          <w:sz w:val="24"/>
          <w:szCs w:val="24"/>
        </w:rPr>
        <w:t>保证加油站内所有通讯处于畅通状态；</w:t>
      </w:r>
    </w:p>
    <w:p>
      <w:pPr>
        <w:spacing w:line="500" w:lineRule="exact"/>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④</w:t>
      </w:r>
      <w:r>
        <w:rPr>
          <w:rFonts w:ascii="Times New Roman" w:hAnsi="Times New Roman" w:cs="Times New Roman"/>
          <w:color w:val="000000" w:themeColor="text1"/>
          <w:sz w:val="24"/>
          <w:szCs w:val="24"/>
        </w:rPr>
        <w:t>负责布置安全警戒，禁止无关人员和车辆进入危险区域；</w:t>
      </w:r>
    </w:p>
    <w:p>
      <w:pPr>
        <w:spacing w:line="500" w:lineRule="exact"/>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sz w:val="24"/>
          <w:szCs w:val="24"/>
        </w:rPr>
        <w:t>⑤</w:t>
      </w:r>
      <w:r>
        <w:rPr>
          <w:rFonts w:ascii="Times New Roman" w:hAnsi="Times New Roman" w:cs="Times New Roman"/>
          <w:color w:val="000000" w:themeColor="text1"/>
          <w:sz w:val="24"/>
          <w:szCs w:val="24"/>
        </w:rPr>
        <w:t>交通疏导、交通管制，确保运送应急物资及人员的畅通；</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6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⑥</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协助总指挥做好事故报警、情况通报及事故处置工作；</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fldChar w:fldCharType="begin"/>
      </w:r>
      <w:r>
        <w:rPr>
          <w:rFonts w:ascii="Times New Roman" w:hAnsi="Times New Roman" w:cs="Times New Roman"/>
          <w:color w:val="000000" w:themeColor="text1"/>
          <w:sz w:val="24"/>
          <w:szCs w:val="24"/>
        </w:rPr>
        <w:instrText xml:space="preserve"> = 7 \* GB3 \* MERGEFORMAT </w:instrText>
      </w:r>
      <w:r>
        <w:rPr>
          <w:rFonts w:ascii="Times New Roman" w:hAnsi="Times New Roman" w:cs="Times New Roman"/>
          <w:color w:val="000000" w:themeColor="text1"/>
          <w:sz w:val="24"/>
          <w:szCs w:val="24"/>
        </w:rPr>
        <w:fldChar w:fldCharType="separate"/>
      </w:r>
      <w:r>
        <w:rPr>
          <w:rFonts w:hint="eastAsia" w:ascii="宋体" w:hAnsi="宋体" w:eastAsia="宋体" w:cs="宋体"/>
          <w:color w:val="000000" w:themeColor="text1"/>
          <w:sz w:val="24"/>
          <w:szCs w:val="24"/>
        </w:rPr>
        <w:t>⑦</w:t>
      </w:r>
      <w:r>
        <w:rPr>
          <w:rFonts w:ascii="Times New Roman" w:hAnsi="Times New Roman" w:cs="Times New Roman"/>
          <w:color w:val="000000" w:themeColor="text1"/>
          <w:sz w:val="24"/>
          <w:szCs w:val="24"/>
        </w:rPr>
        <w:fldChar w:fldCharType="end"/>
      </w:r>
      <w:r>
        <w:rPr>
          <w:rFonts w:ascii="Times New Roman" w:hAnsi="Times New Roman" w:cs="Times New Roman"/>
          <w:color w:val="000000" w:themeColor="text1"/>
          <w:sz w:val="24"/>
          <w:szCs w:val="24"/>
        </w:rPr>
        <w:t>负责现场中毒、受伤人员分类抢救和护送工作；</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加油站全体员工都负有事故应急救援的责任，为事故应急救援骨干力量，承担各类事故救援及处置。</w:t>
      </w:r>
    </w:p>
    <w:p>
      <w:pPr>
        <w:keepNext/>
        <w:keepLines/>
        <w:spacing w:beforeLines="100" w:afterLines="100" w:line="500" w:lineRule="exact"/>
        <w:jc w:val="left"/>
        <w:outlineLvl w:val="1"/>
        <w:rPr>
          <w:rFonts w:ascii="Times New Roman" w:hAnsi="Times New Roman" w:cs="Times New Roman"/>
          <w:b/>
          <w:bCs/>
          <w:color w:val="000000" w:themeColor="text1"/>
          <w:kern w:val="44"/>
          <w:sz w:val="24"/>
          <w:szCs w:val="24"/>
        </w:rPr>
      </w:pPr>
      <w:bookmarkStart w:id="424" w:name="_Toc4350"/>
      <w:bookmarkStart w:id="425" w:name="_Toc28984_WPSOffice_Level2"/>
      <w:bookmarkStart w:id="426" w:name="_Toc532817044"/>
      <w:bookmarkStart w:id="427" w:name="_Toc22687_WPSOffice_Level2"/>
      <w:bookmarkStart w:id="428" w:name="_Toc1167_WPSOffice_Level2"/>
      <w:bookmarkStart w:id="429" w:name="_Toc25774_WPSOffice_Level2"/>
      <w:bookmarkStart w:id="430" w:name="_Toc2653"/>
      <w:bookmarkStart w:id="431" w:name="_Toc4640_WPSOffice_Level2"/>
      <w:bookmarkStart w:id="432" w:name="_Toc9024"/>
      <w:r>
        <w:rPr>
          <w:rFonts w:ascii="Times New Roman" w:hAnsi="Times New Roman" w:cs="Times New Roman"/>
          <w:b/>
          <w:bCs/>
          <w:color w:val="000000" w:themeColor="text1"/>
          <w:kern w:val="44"/>
          <w:sz w:val="24"/>
          <w:szCs w:val="24"/>
        </w:rPr>
        <w:t>4.3应急指挥运行机制</w:t>
      </w:r>
      <w:bookmarkEnd w:id="424"/>
      <w:bookmarkEnd w:id="425"/>
      <w:bookmarkEnd w:id="426"/>
      <w:bookmarkEnd w:id="427"/>
      <w:bookmarkEnd w:id="428"/>
      <w:bookmarkEnd w:id="429"/>
      <w:bookmarkEnd w:id="430"/>
      <w:bookmarkEnd w:id="431"/>
      <w:bookmarkEnd w:id="432"/>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突发环境事件不可能立即完全确定其属性时，使应急救援行动充满变数，如遇特殊情况下，应急救援行动都必须寻求内部与外部力量的救援。因此，中国</w:t>
      </w:r>
      <w:r>
        <w:rPr>
          <w:rFonts w:hint="eastAsia" w:ascii="Times New Roman" w:hAnsi="Times New Roman" w:cs="Times New Roman"/>
          <w:color w:val="000000" w:themeColor="text1"/>
          <w:sz w:val="24"/>
          <w:szCs w:val="24"/>
          <w:lang w:val="en-US" w:eastAsia="zh-CN"/>
        </w:rPr>
        <w:t>石油天然气</w:t>
      </w:r>
      <w:r>
        <w:rPr>
          <w:rFonts w:ascii="Times New Roman" w:hAnsi="Times New Roman" w:cs="Times New Roman"/>
          <w:color w:val="000000" w:themeColor="text1"/>
          <w:sz w:val="24"/>
          <w:szCs w:val="24"/>
        </w:rPr>
        <w:t>股份有限公司江西南昌</w:t>
      </w:r>
      <w:r>
        <w:rPr>
          <w:rFonts w:hint="eastAsia" w:ascii="Times New Roman" w:hAnsi="Times New Roman" w:cs="Times New Roman"/>
          <w:color w:val="000000" w:themeColor="text1"/>
          <w:sz w:val="24"/>
          <w:szCs w:val="24"/>
          <w:lang w:val="en-US" w:eastAsia="zh-CN"/>
        </w:rPr>
        <w:t>双港大道</w:t>
      </w:r>
      <w:r>
        <w:rPr>
          <w:rFonts w:ascii="Times New Roman" w:hAnsi="Times New Roman" w:cs="Times New Roman"/>
          <w:color w:val="000000" w:themeColor="text1"/>
          <w:sz w:val="24"/>
          <w:szCs w:val="24"/>
        </w:rPr>
        <w:t>加油</w:t>
      </w:r>
      <w:r>
        <w:rPr>
          <w:rFonts w:hint="eastAsia" w:ascii="Times New Roman" w:hAnsi="Times New Roman" w:cs="Times New Roman"/>
          <w:color w:val="000000" w:themeColor="text1"/>
          <w:sz w:val="24"/>
          <w:szCs w:val="24"/>
          <w:lang w:val="en-US" w:eastAsia="zh-CN"/>
        </w:rPr>
        <w:t>站</w:t>
      </w:r>
      <w:r>
        <w:rPr>
          <w:rFonts w:ascii="Times New Roman" w:hAnsi="Times New Roman" w:cs="Times New Roman"/>
          <w:color w:val="000000" w:themeColor="text1"/>
          <w:sz w:val="24"/>
          <w:szCs w:val="24"/>
        </w:rPr>
        <w:t>与各相关救援单位、政府部门间的联动就显得尤为重要。</w:t>
      </w:r>
    </w:p>
    <w:p>
      <w:pPr>
        <w:spacing w:line="500" w:lineRule="exact"/>
        <w:ind w:firstLine="480" w:firstLineChars="200"/>
        <w:rPr>
          <w:rFonts w:ascii="Times New Roman" w:hAnsi="Times New Roman" w:cs="Times New Roman"/>
          <w:color w:val="000000" w:themeColor="text1"/>
          <w:kern w:val="0"/>
          <w:sz w:val="24"/>
          <w:szCs w:val="24"/>
        </w:rPr>
      </w:pPr>
      <w:r>
        <w:rPr>
          <w:rFonts w:ascii="Times New Roman" w:hAnsi="Times New Roman" w:cs="Times New Roman"/>
          <w:color w:val="000000" w:themeColor="text1"/>
          <w:sz w:val="24"/>
          <w:szCs w:val="24"/>
        </w:rPr>
        <w:t>（1）加油站一旦发生不可控级（</w:t>
      </w:r>
      <w:r>
        <w:rPr>
          <w:rFonts w:hint="eastAsia" w:ascii="Times New Roman" w:hAnsi="Times New Roman" w:cs="Times New Roman"/>
          <w:color w:val="000000" w:themeColor="text1"/>
          <w:sz w:val="24"/>
          <w:szCs w:val="24"/>
        </w:rPr>
        <w:t>Ⅰ</w:t>
      </w:r>
      <w:r>
        <w:rPr>
          <w:rFonts w:ascii="Times New Roman" w:hAnsi="Times New Roman" w:cs="Times New Roman"/>
          <w:color w:val="000000" w:themeColor="text1"/>
          <w:sz w:val="24"/>
          <w:szCs w:val="24"/>
        </w:rPr>
        <w:t>级）突发环境事件，应急指挥部的总指挥应及时与南昌</w:t>
      </w:r>
      <w:r>
        <w:rPr>
          <w:rFonts w:hint="eastAsia" w:ascii="Times New Roman" w:hAnsi="Times New Roman" w:cs="Times New Roman"/>
          <w:color w:val="000000" w:themeColor="text1"/>
          <w:sz w:val="24"/>
          <w:szCs w:val="24"/>
          <w:lang w:val="en-US" w:eastAsia="zh-CN"/>
        </w:rPr>
        <w:t>市</w:t>
      </w:r>
      <w:r>
        <w:rPr>
          <w:rFonts w:ascii="Times New Roman" w:hAnsi="Times New Roman" w:cs="Times New Roman"/>
          <w:color w:val="000000" w:themeColor="text1"/>
          <w:sz w:val="24"/>
          <w:szCs w:val="24"/>
        </w:rPr>
        <w:t>政府、南昌</w:t>
      </w:r>
      <w:r>
        <w:rPr>
          <w:rFonts w:hint="eastAsia" w:ascii="Times New Roman" w:hAnsi="Times New Roman" w:cs="Times New Roman"/>
          <w:color w:val="000000" w:themeColor="text1"/>
          <w:sz w:val="24"/>
          <w:szCs w:val="24"/>
          <w:lang w:val="en-US" w:eastAsia="zh-CN"/>
        </w:rPr>
        <w:t>市</w:t>
      </w:r>
      <w:r>
        <w:rPr>
          <w:rFonts w:ascii="Times New Roman" w:hAnsi="Times New Roman" w:cs="Times New Roman"/>
          <w:color w:val="000000" w:themeColor="text1"/>
          <w:sz w:val="24"/>
          <w:szCs w:val="24"/>
        </w:rPr>
        <w:t>环境保护局以及相关的职能管理部门的应急指挥机构联系，及时将环境事件</w:t>
      </w:r>
      <w:r>
        <w:rPr>
          <w:rFonts w:ascii="Times New Roman" w:hAnsi="Times New Roman" w:cs="Times New Roman"/>
          <w:color w:val="000000" w:themeColor="text1"/>
          <w:kern w:val="0"/>
          <w:sz w:val="24"/>
          <w:szCs w:val="24"/>
        </w:rPr>
        <w:t>发生情况及最新进展向有关部门汇报，并将上级指挥机构的命令及时向公司加油站应急救援办公室传达。</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若政府及其有关部门介入后，加油站内的总指挥应为政府及其相关部门人员，加油站总指挥及应急救援办公室负责人应听从政府及其相关部门人员的统一指挥，企业应急救援总指挥应积极配合政府及其相关部门人员的工作，积极调动应急救援人员进行现场处置及救援工作。</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加油站发生不可控级（</w:t>
      </w:r>
      <w:r>
        <w:rPr>
          <w:rFonts w:hint="eastAsia" w:ascii="宋体" w:hAnsi="宋体" w:eastAsia="宋体" w:cs="宋体"/>
          <w:color w:val="000000" w:themeColor="text1"/>
          <w:kern w:val="0"/>
          <w:sz w:val="24"/>
          <w:szCs w:val="24"/>
        </w:rPr>
        <w:t>Ⅰ</w:t>
      </w:r>
      <w:r>
        <w:rPr>
          <w:rFonts w:ascii="Times New Roman" w:hAnsi="Times New Roman" w:cs="Times New Roman"/>
          <w:color w:val="000000" w:themeColor="text1"/>
          <w:kern w:val="0"/>
          <w:sz w:val="24"/>
          <w:szCs w:val="24"/>
        </w:rPr>
        <w:t>级）突发环境事件，需要借助外部救援力量，加油站可联系南昌</w:t>
      </w:r>
      <w:r>
        <w:rPr>
          <w:rFonts w:hint="eastAsia" w:ascii="Times New Roman" w:hAnsi="Times New Roman" w:cs="Times New Roman"/>
          <w:color w:val="000000" w:themeColor="text1"/>
          <w:kern w:val="0"/>
          <w:sz w:val="24"/>
          <w:szCs w:val="24"/>
          <w:lang w:val="en-US" w:eastAsia="zh-CN"/>
        </w:rPr>
        <w:t>市</w:t>
      </w:r>
      <w:r>
        <w:rPr>
          <w:rFonts w:ascii="Times New Roman" w:hAnsi="Times New Roman" w:cs="Times New Roman"/>
          <w:color w:val="000000" w:themeColor="text1"/>
          <w:kern w:val="0"/>
          <w:sz w:val="24"/>
          <w:szCs w:val="24"/>
        </w:rPr>
        <w:t>政府应急部门、环境保护局等相关部门，启动南昌</w:t>
      </w:r>
      <w:r>
        <w:rPr>
          <w:rFonts w:hint="eastAsia" w:ascii="Times New Roman" w:hAnsi="Times New Roman" w:cs="Times New Roman"/>
          <w:color w:val="000000" w:themeColor="text1"/>
          <w:kern w:val="0"/>
          <w:sz w:val="24"/>
          <w:szCs w:val="24"/>
          <w:lang w:val="en-US" w:eastAsia="zh-CN"/>
        </w:rPr>
        <w:t>市</w:t>
      </w:r>
      <w:r>
        <w:rPr>
          <w:rFonts w:ascii="Times New Roman" w:hAnsi="Times New Roman" w:cs="Times New Roman"/>
          <w:color w:val="000000" w:themeColor="text1"/>
          <w:kern w:val="0"/>
          <w:sz w:val="24"/>
          <w:szCs w:val="24"/>
        </w:rPr>
        <w:t>突发环境事件应急预案，当政府应急指挥部门到达现场后，加油站应急救援指挥领导小组移交指挥权，听从政府应急指挥部指挥，积极配合完成救援工作。</w:t>
      </w:r>
    </w:p>
    <w:p>
      <w:pPr>
        <w:numPr>
          <w:ilvl w:val="0"/>
          <w:numId w:val="3"/>
        </w:num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加油站发生可控级（</w:t>
      </w:r>
      <w:r>
        <w:rPr>
          <w:rFonts w:hint="eastAsia" w:ascii="宋体" w:hAnsi="宋体" w:eastAsia="宋体" w:cs="宋体"/>
          <w:color w:val="000000" w:themeColor="text1"/>
          <w:kern w:val="0"/>
          <w:sz w:val="24"/>
          <w:szCs w:val="24"/>
        </w:rPr>
        <w:t>Ⅱ</w:t>
      </w:r>
      <w:r>
        <w:rPr>
          <w:rFonts w:ascii="Times New Roman" w:hAnsi="Times New Roman" w:cs="Times New Roman"/>
          <w:color w:val="000000" w:themeColor="text1"/>
          <w:kern w:val="0"/>
          <w:sz w:val="24"/>
          <w:szCs w:val="24"/>
        </w:rPr>
        <w:t>级）突发环境事件，加油站内部救援力量能处置的，事故当事人，应立即向应急救援指挥部上报，应急救援总指挥立即启动应急救援，组织应急救援办公室展开现场救援，应急救援办公室负责人应听从总指挥的统一指挥。应急工作结束后，应向南昌</w:t>
      </w:r>
      <w:r>
        <w:rPr>
          <w:rFonts w:hint="eastAsia" w:ascii="Times New Roman" w:hAnsi="Times New Roman" w:cs="Times New Roman"/>
          <w:color w:val="000000" w:themeColor="text1"/>
          <w:kern w:val="0"/>
          <w:sz w:val="24"/>
          <w:szCs w:val="24"/>
          <w:lang w:val="en-US" w:eastAsia="zh-CN"/>
        </w:rPr>
        <w:t>市</w:t>
      </w:r>
      <w:r>
        <w:rPr>
          <w:rFonts w:ascii="Times New Roman" w:hAnsi="Times New Roman" w:cs="Times New Roman"/>
          <w:color w:val="000000" w:themeColor="text1"/>
          <w:kern w:val="0"/>
          <w:sz w:val="24"/>
          <w:szCs w:val="24"/>
        </w:rPr>
        <w:t>环境保护局报备；若加油站内部救援力量不能满足救援需求时，需借助外部救援力量，加油站应联系南昌</w:t>
      </w:r>
      <w:r>
        <w:rPr>
          <w:rFonts w:hint="eastAsia" w:ascii="Times New Roman" w:hAnsi="Times New Roman" w:cs="Times New Roman"/>
          <w:color w:val="000000" w:themeColor="text1"/>
          <w:kern w:val="0"/>
          <w:sz w:val="24"/>
          <w:szCs w:val="24"/>
          <w:lang w:val="en-US" w:eastAsia="zh-CN"/>
        </w:rPr>
        <w:t>市</w:t>
      </w:r>
      <w:r>
        <w:rPr>
          <w:rFonts w:ascii="Times New Roman" w:hAnsi="Times New Roman" w:cs="Times New Roman"/>
          <w:color w:val="000000" w:themeColor="text1"/>
          <w:kern w:val="0"/>
          <w:sz w:val="24"/>
          <w:szCs w:val="24"/>
        </w:rPr>
        <w:t>政府应急部门、环境保护局等相关部门，启动南昌</w:t>
      </w:r>
      <w:r>
        <w:rPr>
          <w:rFonts w:hint="eastAsia" w:ascii="Times New Roman" w:hAnsi="Times New Roman" w:cs="Times New Roman"/>
          <w:color w:val="000000" w:themeColor="text1"/>
          <w:kern w:val="0"/>
          <w:sz w:val="24"/>
          <w:szCs w:val="24"/>
          <w:lang w:val="en-US" w:eastAsia="zh-CN"/>
        </w:rPr>
        <w:t>市</w:t>
      </w:r>
      <w:r>
        <w:rPr>
          <w:rFonts w:ascii="Times New Roman" w:hAnsi="Times New Roman" w:cs="Times New Roman"/>
          <w:color w:val="000000" w:themeColor="text1"/>
          <w:kern w:val="0"/>
          <w:sz w:val="24"/>
          <w:szCs w:val="24"/>
        </w:rPr>
        <w:t>突发环境事件应急预案，当政府应急指挥部门到达现场后，加油站应急救援指挥领导小组移交指挥权，听从政府应急指挥部指挥，积极配合完成救援工作。</w:t>
      </w:r>
    </w:p>
    <w:p>
      <w:pPr>
        <w:keepNext/>
        <w:keepLines/>
        <w:spacing w:beforeLines="100" w:afterLines="100" w:line="500" w:lineRule="exact"/>
        <w:jc w:val="left"/>
        <w:outlineLvl w:val="1"/>
        <w:rPr>
          <w:rFonts w:ascii="Times New Roman" w:hAnsi="Times New Roman" w:cs="Times New Roman"/>
          <w:b/>
          <w:bCs/>
          <w:color w:val="000000" w:themeColor="text1"/>
          <w:kern w:val="44"/>
          <w:sz w:val="24"/>
          <w:szCs w:val="24"/>
        </w:rPr>
      </w:pPr>
      <w:bookmarkStart w:id="433" w:name="_Toc30317"/>
      <w:bookmarkStart w:id="434" w:name="_Toc6201"/>
      <w:bookmarkStart w:id="435" w:name="_Toc20556_WPSOffice_Level2"/>
      <w:bookmarkStart w:id="436" w:name="_Toc31188_WPSOffice_Level2"/>
      <w:bookmarkStart w:id="437" w:name="_Toc532817045"/>
      <w:bookmarkStart w:id="438" w:name="_Toc21319_WPSOffice_Level2"/>
      <w:bookmarkStart w:id="439" w:name="_Toc25708_WPSOffice_Level2"/>
      <w:bookmarkStart w:id="440" w:name="_Toc1450_WPSOffice_Level2"/>
      <w:r>
        <w:rPr>
          <w:rFonts w:ascii="Times New Roman" w:hAnsi="Times New Roman" w:cs="Times New Roman"/>
          <w:b/>
          <w:bCs/>
          <w:color w:val="000000" w:themeColor="text1"/>
          <w:kern w:val="44"/>
          <w:sz w:val="24"/>
          <w:szCs w:val="24"/>
        </w:rPr>
        <w:t>4.4加油站现场应急处理分级</w:t>
      </w:r>
      <w:bookmarkEnd w:id="433"/>
      <w:bookmarkEnd w:id="434"/>
      <w:bookmarkEnd w:id="435"/>
      <w:bookmarkEnd w:id="436"/>
      <w:bookmarkEnd w:id="437"/>
      <w:bookmarkEnd w:id="438"/>
      <w:bookmarkEnd w:id="439"/>
      <w:bookmarkEnd w:id="440"/>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加油站现场应急处理分两级，可控级为加油站应急办处理，不可控级为当地政府部门应急处理。</w:t>
      </w:r>
    </w:p>
    <w:p>
      <w:pPr>
        <w:spacing w:line="500" w:lineRule="exact"/>
        <w:ind w:firstLine="482" w:firstLineChars="200"/>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fldChar w:fldCharType="begin"/>
      </w:r>
      <w:r>
        <w:rPr>
          <w:rFonts w:ascii="Times New Roman" w:hAnsi="Times New Roman" w:cs="Times New Roman"/>
          <w:b/>
          <w:color w:val="000000" w:themeColor="text1"/>
          <w:kern w:val="0"/>
          <w:sz w:val="24"/>
          <w:szCs w:val="24"/>
        </w:rPr>
        <w:instrText xml:space="preserve"> = 1 \* GB2 \* MERGEFORMAT </w:instrText>
      </w:r>
      <w:r>
        <w:rPr>
          <w:rFonts w:ascii="Times New Roman" w:hAnsi="Times New Roman" w:cs="Times New Roman"/>
          <w:b/>
          <w:color w:val="000000" w:themeColor="text1"/>
          <w:kern w:val="0"/>
          <w:sz w:val="24"/>
          <w:szCs w:val="24"/>
        </w:rPr>
        <w:fldChar w:fldCharType="separate"/>
      </w:r>
      <w:r>
        <w:rPr>
          <w:rFonts w:hint="eastAsia" w:ascii="宋体" w:hAnsi="宋体" w:eastAsia="宋体" w:cs="宋体"/>
          <w:b/>
          <w:color w:val="000000" w:themeColor="text1"/>
          <w:kern w:val="0"/>
          <w:sz w:val="24"/>
          <w:szCs w:val="24"/>
        </w:rPr>
        <w:t>⑴</w:t>
      </w:r>
      <w:r>
        <w:rPr>
          <w:rFonts w:ascii="Times New Roman" w:hAnsi="Times New Roman" w:cs="Times New Roman"/>
          <w:b/>
          <w:color w:val="000000" w:themeColor="text1"/>
          <w:kern w:val="0"/>
          <w:sz w:val="24"/>
          <w:szCs w:val="24"/>
        </w:rPr>
        <w:fldChar w:fldCharType="end"/>
      </w:r>
      <w:r>
        <w:rPr>
          <w:rFonts w:ascii="Times New Roman" w:hAnsi="Times New Roman" w:cs="Times New Roman"/>
          <w:b/>
          <w:color w:val="000000" w:themeColor="text1"/>
          <w:kern w:val="0"/>
          <w:sz w:val="24"/>
          <w:szCs w:val="24"/>
        </w:rPr>
        <w:t>可控级预警：</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a、为已发生火灾、危险源大面积泄漏事故，但危险源没有流出或扩散到周边社区、企业，由加油站应急领导小组组织实施应急救援。</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b、为已发生火灾和危险源泄漏，在短时间内可以处置控制未对周边企业和社区产生影响的突发环境事故时，由加油站应急小组组织实施应急救援，及时报告加油站应急领导小组，做好协调工作。</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c、</w:t>
      </w:r>
      <w:r>
        <w:rPr>
          <w:rFonts w:ascii="Times New Roman" w:hAnsi="Times New Roman" w:cs="Times New Roman"/>
          <w:color w:val="000000" w:themeColor="text1"/>
          <w:kern w:val="0"/>
          <w:sz w:val="24"/>
          <w:szCs w:val="24"/>
        </w:rPr>
        <w:fldChar w:fldCharType="begin"/>
      </w:r>
      <w:r>
        <w:rPr>
          <w:rFonts w:ascii="Times New Roman" w:hAnsi="Times New Roman" w:cs="Times New Roman"/>
          <w:color w:val="000000" w:themeColor="text1"/>
          <w:kern w:val="0"/>
          <w:sz w:val="24"/>
          <w:szCs w:val="24"/>
        </w:rPr>
        <w:instrText xml:space="preserve"> = 1 \* GB3 \* MERGEFORMAT </w:instrText>
      </w:r>
      <w:r>
        <w:rPr>
          <w:rFonts w:ascii="Times New Roman" w:hAnsi="Times New Roman" w:cs="Times New Roman"/>
          <w:color w:val="000000" w:themeColor="text1"/>
          <w:kern w:val="0"/>
          <w:sz w:val="24"/>
          <w:szCs w:val="24"/>
        </w:rPr>
        <w:fldChar w:fldCharType="separate"/>
      </w:r>
      <w:r>
        <w:rPr>
          <w:rFonts w:hint="eastAsia" w:ascii="宋体" w:hAnsi="宋体" w:eastAsia="宋体" w:cs="宋体"/>
          <w:color w:val="000000" w:themeColor="text1"/>
          <w:kern w:val="0"/>
          <w:sz w:val="24"/>
          <w:szCs w:val="24"/>
        </w:rPr>
        <w:t>①</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加油站设备、设施故障，将会导致危险源泄漏、火灾等安全事故的；</w:t>
      </w:r>
      <w:r>
        <w:rPr>
          <w:rFonts w:ascii="Times New Roman" w:hAnsi="Times New Roman" w:cs="Times New Roman"/>
          <w:color w:val="000000" w:themeColor="text1"/>
          <w:kern w:val="0"/>
          <w:sz w:val="24"/>
          <w:szCs w:val="24"/>
        </w:rPr>
        <w:fldChar w:fldCharType="begin"/>
      </w:r>
      <w:r>
        <w:rPr>
          <w:rFonts w:ascii="Times New Roman" w:hAnsi="Times New Roman" w:cs="Times New Roman"/>
          <w:color w:val="000000" w:themeColor="text1"/>
          <w:kern w:val="0"/>
          <w:sz w:val="24"/>
          <w:szCs w:val="24"/>
        </w:rPr>
        <w:instrText xml:space="preserve"> = 2 \* GB3 \* MERGEFORMAT </w:instrText>
      </w:r>
      <w:r>
        <w:rPr>
          <w:rFonts w:ascii="Times New Roman" w:hAnsi="Times New Roman" w:cs="Times New Roman"/>
          <w:color w:val="000000" w:themeColor="text1"/>
          <w:kern w:val="0"/>
          <w:sz w:val="24"/>
          <w:szCs w:val="24"/>
        </w:rPr>
        <w:fldChar w:fldCharType="separate"/>
      </w:r>
      <w:r>
        <w:rPr>
          <w:rFonts w:hint="eastAsia" w:ascii="宋体" w:hAnsi="宋体" w:eastAsia="宋体" w:cs="宋体"/>
          <w:color w:val="000000" w:themeColor="text1"/>
          <w:kern w:val="0"/>
          <w:sz w:val="24"/>
          <w:szCs w:val="24"/>
        </w:rPr>
        <w:t>②</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现场发现存在泄漏或火灾迹象的；</w:t>
      </w:r>
      <w:r>
        <w:rPr>
          <w:rFonts w:ascii="Times New Roman" w:hAnsi="Times New Roman" w:cs="Times New Roman"/>
          <w:color w:val="000000" w:themeColor="text1"/>
          <w:kern w:val="0"/>
          <w:sz w:val="24"/>
          <w:szCs w:val="24"/>
        </w:rPr>
        <w:fldChar w:fldCharType="begin"/>
      </w:r>
      <w:r>
        <w:rPr>
          <w:rFonts w:ascii="Times New Roman" w:hAnsi="Times New Roman" w:cs="Times New Roman"/>
          <w:color w:val="000000" w:themeColor="text1"/>
          <w:kern w:val="0"/>
          <w:sz w:val="24"/>
          <w:szCs w:val="24"/>
        </w:rPr>
        <w:instrText xml:space="preserve"> = 3 \* GB3 \* MERGEFORMAT </w:instrText>
      </w:r>
      <w:r>
        <w:rPr>
          <w:rFonts w:ascii="Times New Roman" w:hAnsi="Times New Roman" w:cs="Times New Roman"/>
          <w:color w:val="000000" w:themeColor="text1"/>
          <w:kern w:val="0"/>
          <w:sz w:val="24"/>
          <w:szCs w:val="24"/>
        </w:rPr>
        <w:fldChar w:fldCharType="separate"/>
      </w:r>
      <w:r>
        <w:rPr>
          <w:rFonts w:hint="eastAsia" w:ascii="宋体" w:hAnsi="宋体" w:eastAsia="宋体" w:cs="宋体"/>
          <w:color w:val="000000" w:themeColor="text1"/>
          <w:kern w:val="0"/>
          <w:sz w:val="24"/>
          <w:szCs w:val="24"/>
        </w:rPr>
        <w:t>③</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遇雷雨、极端气候、汛涝等恶劣气候；</w:t>
      </w:r>
      <w:r>
        <w:rPr>
          <w:rFonts w:ascii="Times New Roman" w:hAnsi="Times New Roman" w:cs="Times New Roman"/>
          <w:color w:val="000000" w:themeColor="text1"/>
          <w:kern w:val="0"/>
          <w:sz w:val="24"/>
          <w:szCs w:val="24"/>
        </w:rPr>
        <w:fldChar w:fldCharType="begin"/>
      </w:r>
      <w:r>
        <w:rPr>
          <w:rFonts w:ascii="Times New Roman" w:hAnsi="Times New Roman" w:cs="Times New Roman"/>
          <w:color w:val="000000" w:themeColor="text1"/>
          <w:kern w:val="0"/>
          <w:sz w:val="24"/>
          <w:szCs w:val="24"/>
        </w:rPr>
        <w:instrText xml:space="preserve"> = 4 \* GB3 \* MERGEFORMAT </w:instrText>
      </w:r>
      <w:r>
        <w:rPr>
          <w:rFonts w:ascii="Times New Roman" w:hAnsi="Times New Roman" w:cs="Times New Roman"/>
          <w:color w:val="000000" w:themeColor="text1"/>
          <w:kern w:val="0"/>
          <w:sz w:val="24"/>
          <w:szCs w:val="24"/>
        </w:rPr>
        <w:fldChar w:fldCharType="separate"/>
      </w:r>
      <w:r>
        <w:rPr>
          <w:rFonts w:hint="eastAsia" w:ascii="宋体" w:hAnsi="宋体" w:eastAsia="宋体" w:cs="宋体"/>
          <w:color w:val="000000" w:themeColor="text1"/>
          <w:kern w:val="0"/>
          <w:sz w:val="24"/>
          <w:szCs w:val="24"/>
        </w:rPr>
        <w:t>④</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其他异常现象等，由加油站及时应急处置，同时报告公司应急办，做好应急协调工作。</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fldChar w:fldCharType="begin"/>
      </w:r>
      <w:r>
        <w:rPr>
          <w:rFonts w:ascii="Times New Roman" w:hAnsi="Times New Roman" w:cs="Times New Roman"/>
          <w:b/>
          <w:color w:val="000000" w:themeColor="text1"/>
          <w:kern w:val="0"/>
          <w:sz w:val="24"/>
          <w:szCs w:val="24"/>
          <w:lang w:val="zh-CN"/>
        </w:rPr>
        <w:instrText xml:space="preserve"> = 2 \* GB2 \* MERGEFORMAT </w:instrText>
      </w:r>
      <w:r>
        <w:rPr>
          <w:rFonts w:ascii="Times New Roman" w:hAnsi="Times New Roman" w:cs="Times New Roman"/>
          <w:b/>
          <w:color w:val="000000" w:themeColor="text1"/>
          <w:kern w:val="0"/>
          <w:sz w:val="24"/>
          <w:szCs w:val="24"/>
          <w:lang w:val="zh-CN"/>
        </w:rPr>
        <w:fldChar w:fldCharType="separate"/>
      </w:r>
      <w:r>
        <w:rPr>
          <w:rFonts w:hint="eastAsia" w:ascii="宋体" w:hAnsi="宋体" w:eastAsia="宋体" w:cs="宋体"/>
          <w:b/>
          <w:color w:val="000000" w:themeColor="text1"/>
          <w:kern w:val="0"/>
          <w:sz w:val="24"/>
          <w:szCs w:val="24"/>
          <w:lang w:val="zh-CN"/>
        </w:rPr>
        <w:t>⑵</w:t>
      </w:r>
      <w:r>
        <w:rPr>
          <w:rFonts w:ascii="Times New Roman" w:hAnsi="Times New Roman" w:cs="Times New Roman"/>
          <w:b/>
          <w:color w:val="000000" w:themeColor="text1"/>
          <w:kern w:val="0"/>
          <w:sz w:val="24"/>
          <w:szCs w:val="24"/>
          <w:lang w:val="zh-CN"/>
        </w:rPr>
        <w:fldChar w:fldCharType="end"/>
      </w:r>
      <w:r>
        <w:rPr>
          <w:rFonts w:ascii="Times New Roman" w:hAnsi="Times New Roman" w:cs="Times New Roman"/>
          <w:b/>
          <w:color w:val="000000" w:themeColor="text1"/>
          <w:kern w:val="0"/>
          <w:sz w:val="24"/>
          <w:szCs w:val="24"/>
          <w:lang w:val="zh-CN"/>
        </w:rPr>
        <w:t>不可控级预警：</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若危险源已流出或扩散到周边社区、企业，加油站没有能力控制时，立即报告当地相关政府部门，请求支援。</w:t>
      </w:r>
    </w:p>
    <w:p>
      <w:pPr>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br w:type="page"/>
      </w:r>
    </w:p>
    <w:p>
      <w:pPr>
        <w:keepNext/>
        <w:keepLines/>
        <w:spacing w:beforeLines="100" w:afterLines="100" w:line="500" w:lineRule="exact"/>
        <w:jc w:val="center"/>
        <w:outlineLvl w:val="0"/>
        <w:rPr>
          <w:rFonts w:ascii="Times New Roman" w:hAnsi="Times New Roman" w:cs="Times New Roman"/>
          <w:b/>
          <w:bCs/>
          <w:color w:val="000000" w:themeColor="text1"/>
          <w:kern w:val="44"/>
          <w:sz w:val="30"/>
          <w:szCs w:val="30"/>
        </w:rPr>
      </w:pPr>
      <w:bookmarkStart w:id="441" w:name="_Toc16749_WPSOffice_Level1"/>
      <w:bookmarkStart w:id="442" w:name="_Toc22687_WPSOffice_Level1"/>
      <w:bookmarkStart w:id="443" w:name="_Toc2112_WPSOffice_Level1"/>
      <w:bookmarkStart w:id="444" w:name="_Toc7664_WPSOffice_Level1"/>
      <w:bookmarkStart w:id="445" w:name="_Toc14999"/>
      <w:bookmarkStart w:id="446" w:name="_Toc3934"/>
      <w:bookmarkStart w:id="447" w:name="_Toc532817046"/>
      <w:bookmarkStart w:id="448" w:name="_Toc3671_WPSOffice_Level1"/>
      <w:r>
        <w:rPr>
          <w:rFonts w:ascii="Times New Roman" w:hAnsi="Times New Roman" w:cs="Times New Roman"/>
          <w:b/>
          <w:bCs/>
          <w:color w:val="000000" w:themeColor="text1"/>
          <w:kern w:val="44"/>
          <w:sz w:val="30"/>
          <w:szCs w:val="30"/>
        </w:rPr>
        <w:t>5.预防和预警</w:t>
      </w:r>
      <w:bookmarkEnd w:id="441"/>
      <w:bookmarkEnd w:id="442"/>
      <w:bookmarkEnd w:id="443"/>
      <w:bookmarkEnd w:id="444"/>
      <w:bookmarkEnd w:id="445"/>
      <w:bookmarkEnd w:id="446"/>
      <w:bookmarkEnd w:id="447"/>
      <w:bookmarkEnd w:id="448"/>
    </w:p>
    <w:p>
      <w:pPr>
        <w:keepNext/>
        <w:keepLines/>
        <w:spacing w:beforeLines="100" w:afterLines="100" w:line="500" w:lineRule="exact"/>
        <w:jc w:val="left"/>
        <w:outlineLvl w:val="1"/>
        <w:rPr>
          <w:rFonts w:ascii="Times New Roman" w:hAnsi="Times New Roman" w:cs="Times New Roman"/>
          <w:b/>
          <w:bCs/>
          <w:color w:val="000000" w:themeColor="text1"/>
          <w:kern w:val="44"/>
          <w:sz w:val="24"/>
          <w:szCs w:val="24"/>
        </w:rPr>
      </w:pPr>
      <w:bookmarkStart w:id="449" w:name="_Toc21100"/>
      <w:bookmarkStart w:id="450" w:name="_Toc27962_WPSOffice_Level2"/>
      <w:bookmarkStart w:id="451" w:name="_Toc532817047"/>
      <w:bookmarkStart w:id="452" w:name="_Toc24052_WPSOffice_Level2"/>
      <w:bookmarkStart w:id="453" w:name="_Toc20158_WPSOffice_Level2"/>
      <w:bookmarkStart w:id="454" w:name="_Toc20133"/>
      <w:bookmarkStart w:id="455" w:name="_Toc30259"/>
      <w:bookmarkStart w:id="456" w:name="_Toc668_WPSOffice_Level2"/>
      <w:bookmarkStart w:id="457" w:name="_Toc10518_WPSOffice_Level2"/>
      <w:r>
        <w:rPr>
          <w:rFonts w:ascii="Times New Roman" w:hAnsi="Times New Roman" w:cs="Times New Roman"/>
          <w:b/>
          <w:bCs/>
          <w:color w:val="000000" w:themeColor="text1"/>
          <w:kern w:val="44"/>
          <w:sz w:val="24"/>
          <w:szCs w:val="24"/>
        </w:rPr>
        <w:t>5.1</w:t>
      </w:r>
      <w:bookmarkEnd w:id="449"/>
      <w:r>
        <w:rPr>
          <w:rFonts w:ascii="Times New Roman" w:hAnsi="Times New Roman" w:cs="Times New Roman"/>
          <w:b/>
          <w:bCs/>
          <w:color w:val="000000" w:themeColor="text1"/>
          <w:kern w:val="44"/>
          <w:sz w:val="24"/>
          <w:szCs w:val="24"/>
        </w:rPr>
        <w:t>预防</w:t>
      </w:r>
      <w:bookmarkEnd w:id="450"/>
      <w:bookmarkEnd w:id="451"/>
      <w:bookmarkEnd w:id="452"/>
      <w:bookmarkEnd w:id="453"/>
      <w:bookmarkEnd w:id="454"/>
      <w:bookmarkEnd w:id="455"/>
      <w:bookmarkEnd w:id="456"/>
      <w:bookmarkEnd w:id="457"/>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环境风险源分为安全生产事故可能引发突发环境事件的环境安全危险源、排污造成环境污染事故的环境污染源和自然灾害引发的突发环境事件风险源。</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针对公司存在的危险源，公司采取了相应的安全防范措施，具体详见“3.4 风险事故管理”。对重要设备的运行状况、重点区域安排专人进行巡检，在事故未发生前预先发现隐患或事故发生时及时发现异常情况；另外，通过相关报警系统的设立，能够及时发现事故隐患进行报警，以便第一时间采取相应的紧急措施，避免事故的发生或事态的扩大，避免环境安全事故的发生。</w:t>
      </w:r>
    </w:p>
    <w:p>
      <w:pPr>
        <w:spacing w:line="500" w:lineRule="exact"/>
        <w:ind w:firstLine="482" w:firstLineChars="200"/>
        <w:jc w:val="left"/>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工程技术及管理预防措施：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1</w:t>
      </w:r>
      <w:r>
        <w:rPr>
          <w:rFonts w:ascii="Times New Roman" w:hAnsi="Times New Roman" w:cs="Times New Roman"/>
          <w:color w:val="000000" w:themeColor="text1"/>
          <w:kern w:val="0"/>
          <w:sz w:val="24"/>
          <w:szCs w:val="24"/>
          <w:lang w:val="zh-CN"/>
        </w:rPr>
        <w:t>）按规定在站房、加油区、储罐区等设置灭火器、灭火毯、消防沙等消防器材。</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2</w:t>
      </w:r>
      <w:r>
        <w:rPr>
          <w:rFonts w:ascii="Times New Roman" w:hAnsi="Times New Roman" w:cs="Times New Roman"/>
          <w:color w:val="000000" w:themeColor="text1"/>
          <w:kern w:val="0"/>
          <w:sz w:val="24"/>
          <w:szCs w:val="24"/>
          <w:lang w:val="zh-CN"/>
        </w:rPr>
        <w:t>）采用防渗承重罐池，筏板基础，剪力墙罐池，过车顶板，罐池内采用玻璃钢防腐防渗。储油罐按有关规范做好防腐，防腐等级不低于加强级。</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3</w:t>
      </w:r>
      <w:r>
        <w:rPr>
          <w:rFonts w:ascii="Times New Roman" w:hAnsi="Times New Roman" w:cs="Times New Roman"/>
          <w:color w:val="000000" w:themeColor="text1"/>
          <w:kern w:val="0"/>
          <w:sz w:val="24"/>
          <w:szCs w:val="24"/>
          <w:lang w:val="zh-CN"/>
        </w:rPr>
        <w:t>）在油罐四周及上部回填中性沙，厚度不小于0.3m，罐顶低于加油区混凝土路面不小于0.9m。罐池上部采取防水措施。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4</w:t>
      </w:r>
      <w:r>
        <w:rPr>
          <w:rFonts w:ascii="Times New Roman" w:hAnsi="Times New Roman" w:cs="Times New Roman"/>
          <w:color w:val="000000" w:themeColor="text1"/>
          <w:kern w:val="0"/>
          <w:sz w:val="24"/>
          <w:szCs w:val="24"/>
          <w:lang w:val="zh-CN"/>
        </w:rPr>
        <w:t>）地下储油罐设置液位报警装置，防止罐内油品溢出；设观察孔，为及时发现地下油罐渗漏提供条件，防止成品油泄漏造成大面积的地下水污染。</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5</w:t>
      </w:r>
      <w:r>
        <w:rPr>
          <w:rFonts w:ascii="Times New Roman" w:hAnsi="Times New Roman" w:cs="Times New Roman"/>
          <w:color w:val="000000" w:themeColor="text1"/>
          <w:kern w:val="0"/>
          <w:sz w:val="24"/>
          <w:szCs w:val="24"/>
          <w:lang w:val="zh-CN"/>
        </w:rPr>
        <w:t>）油罐区观测井、加油机低槽等部位采取防渗措施。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6</w:t>
      </w:r>
      <w:r>
        <w:rPr>
          <w:rFonts w:ascii="Times New Roman" w:hAnsi="Times New Roman" w:cs="Times New Roman"/>
          <w:color w:val="000000" w:themeColor="text1"/>
          <w:kern w:val="0"/>
          <w:sz w:val="24"/>
          <w:szCs w:val="24"/>
          <w:lang w:val="zh-CN"/>
        </w:rPr>
        <w:t>）输油管线外表面做好防腐处理，防腐等级不低于加强级的防腐绝缘保护层。埋地部分的管线采用焊接，穿越车道的埋地管线应设钢管保护；管沟敷设管线的，沟内填满细沙。当油品管线与管沟、电缆沟和排水沟交叉时，采取相应的防渗漏措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7</w:t>
      </w:r>
      <w:r>
        <w:rPr>
          <w:rFonts w:ascii="Times New Roman" w:hAnsi="Times New Roman" w:cs="Times New Roman"/>
          <w:color w:val="000000" w:themeColor="text1"/>
          <w:kern w:val="0"/>
          <w:sz w:val="24"/>
          <w:szCs w:val="24"/>
          <w:lang w:val="zh-CN"/>
        </w:rPr>
        <w:t>）加油站加油机、罩棚、站房、油罐等均采取有效防雷和接地措施，卸油口、加油区设置静电释放装置，避免静电积聚。</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8</w:t>
      </w:r>
      <w:r>
        <w:rPr>
          <w:rFonts w:ascii="Times New Roman" w:hAnsi="Times New Roman" w:cs="Times New Roman"/>
          <w:color w:val="000000" w:themeColor="text1"/>
          <w:kern w:val="0"/>
          <w:sz w:val="24"/>
          <w:szCs w:val="24"/>
          <w:lang w:val="zh-CN"/>
        </w:rPr>
        <w:t>）绿化、房屋建构筑物占地以外的地面全部进行水泥地面硬化，防止滴漏于地面的油品污染地下水。</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9</w:t>
      </w:r>
      <w:r>
        <w:rPr>
          <w:rFonts w:ascii="Times New Roman" w:hAnsi="Times New Roman" w:cs="Times New Roman"/>
          <w:color w:val="000000" w:themeColor="text1"/>
          <w:kern w:val="0"/>
          <w:sz w:val="24"/>
          <w:szCs w:val="24"/>
          <w:lang w:val="zh-CN"/>
        </w:rPr>
        <w:t>）加油站设置醒目的防火、禁止吸烟及明火标志。</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10</w:t>
      </w:r>
      <w:r>
        <w:rPr>
          <w:rFonts w:ascii="Times New Roman" w:hAnsi="Times New Roman" w:cs="Times New Roman"/>
          <w:color w:val="000000" w:themeColor="text1"/>
          <w:kern w:val="0"/>
          <w:sz w:val="24"/>
          <w:szCs w:val="24"/>
          <w:lang w:val="zh-CN"/>
        </w:rPr>
        <w:t>）对加油站危险区域定时巡检，发现风险及时处理。</w:t>
      </w:r>
    </w:p>
    <w:p>
      <w:pPr>
        <w:keepNext/>
        <w:keepLines/>
        <w:spacing w:beforeLines="100" w:afterLines="100" w:line="500" w:lineRule="exact"/>
        <w:jc w:val="left"/>
        <w:outlineLvl w:val="1"/>
        <w:rPr>
          <w:rFonts w:ascii="Times New Roman" w:hAnsi="Times New Roman" w:cs="Times New Roman"/>
          <w:b/>
          <w:bCs/>
          <w:color w:val="000000" w:themeColor="text1"/>
          <w:kern w:val="44"/>
          <w:sz w:val="24"/>
          <w:szCs w:val="24"/>
        </w:rPr>
      </w:pPr>
      <w:bookmarkStart w:id="458" w:name="_Toc22532_WPSOffice_Level2"/>
      <w:bookmarkStart w:id="459" w:name="_Toc5522"/>
      <w:bookmarkStart w:id="460" w:name="_Toc8330_WPSOffice_Level2"/>
      <w:bookmarkStart w:id="461" w:name="_Toc11315"/>
      <w:bookmarkStart w:id="462" w:name="_Toc5613_WPSOffice_Level2"/>
      <w:bookmarkStart w:id="463" w:name="_Toc30474"/>
      <w:bookmarkStart w:id="464" w:name="_Toc2870_WPSOffice_Level2"/>
      <w:bookmarkStart w:id="465" w:name="_Toc16284_WPSOffice_Level2"/>
      <w:bookmarkStart w:id="466" w:name="_Toc532817048"/>
      <w:bookmarkStart w:id="467" w:name="_Toc4501"/>
      <w:r>
        <w:rPr>
          <w:rFonts w:ascii="Times New Roman" w:hAnsi="Times New Roman" w:cs="Times New Roman"/>
          <w:b/>
          <w:bCs/>
          <w:color w:val="000000" w:themeColor="text1"/>
          <w:kern w:val="44"/>
          <w:sz w:val="24"/>
          <w:szCs w:val="24"/>
        </w:rPr>
        <w:t>5.2环境风险源监控</w:t>
      </w:r>
      <w:bookmarkEnd w:id="458"/>
      <w:bookmarkEnd w:id="459"/>
      <w:bookmarkEnd w:id="460"/>
      <w:bookmarkEnd w:id="461"/>
      <w:bookmarkEnd w:id="462"/>
      <w:bookmarkEnd w:id="463"/>
      <w:bookmarkEnd w:id="464"/>
      <w:bookmarkEnd w:id="465"/>
      <w:bookmarkEnd w:id="466"/>
      <w:bookmarkEnd w:id="467"/>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按照早发现、早报告、早处置的原则，根据中国</w:t>
      </w:r>
      <w:r>
        <w:rPr>
          <w:rFonts w:hint="eastAsia" w:ascii="Times New Roman" w:hAnsi="Times New Roman" w:cs="Times New Roman"/>
          <w:color w:val="000000" w:themeColor="text1"/>
          <w:kern w:val="0"/>
          <w:sz w:val="24"/>
          <w:szCs w:val="24"/>
          <w:lang w:val="en-US" w:eastAsia="zh-CN"/>
        </w:rPr>
        <w:t>石油天然气</w:t>
      </w:r>
      <w:r>
        <w:rPr>
          <w:rFonts w:ascii="Times New Roman" w:hAnsi="Times New Roman" w:cs="Times New Roman"/>
          <w:color w:val="000000" w:themeColor="text1"/>
          <w:kern w:val="0"/>
          <w:sz w:val="24"/>
          <w:szCs w:val="24"/>
          <w:lang w:val="zh-CN"/>
        </w:rPr>
        <w:t>股份有限公司江西南</w:t>
      </w:r>
      <w:r>
        <w:rPr>
          <w:rFonts w:hint="eastAsia" w:ascii="Times New Roman" w:hAnsi="Times New Roman" w:cs="Times New Roman"/>
          <w:color w:val="000000" w:themeColor="text1"/>
          <w:kern w:val="0"/>
          <w:sz w:val="24"/>
          <w:szCs w:val="24"/>
          <w:lang w:val="en-US" w:eastAsia="zh-CN"/>
        </w:rPr>
        <w:t>双港大道</w:t>
      </w:r>
      <w:r>
        <w:rPr>
          <w:rFonts w:ascii="Times New Roman" w:hAnsi="Times New Roman" w:cs="Times New Roman"/>
          <w:color w:val="000000" w:themeColor="text1"/>
          <w:kern w:val="0"/>
          <w:sz w:val="24"/>
          <w:szCs w:val="24"/>
          <w:lang w:val="zh-CN"/>
        </w:rPr>
        <w:t>加油</w:t>
      </w:r>
      <w:r>
        <w:rPr>
          <w:rFonts w:hint="eastAsia" w:ascii="Times New Roman" w:hAnsi="Times New Roman" w:cs="Times New Roman"/>
          <w:color w:val="000000" w:themeColor="text1"/>
          <w:kern w:val="0"/>
          <w:sz w:val="24"/>
          <w:szCs w:val="24"/>
          <w:lang w:val="en-US" w:eastAsia="zh-CN"/>
        </w:rPr>
        <w:t>站</w:t>
      </w:r>
      <w:r>
        <w:rPr>
          <w:rFonts w:ascii="Times New Roman" w:hAnsi="Times New Roman" w:cs="Times New Roman"/>
          <w:color w:val="000000" w:themeColor="text1"/>
          <w:kern w:val="0"/>
          <w:sz w:val="24"/>
          <w:szCs w:val="24"/>
          <w:lang w:val="zh-CN"/>
        </w:rPr>
        <w:t xml:space="preserve">储油区、加油区、生产废水、危险废物、污水收集预处理池布置情况，将环保危险源进行分区监管。 </w:t>
      </w:r>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468" w:name="_Toc21777"/>
      <w:bookmarkStart w:id="469" w:name="_Toc11274"/>
      <w:bookmarkStart w:id="470" w:name="_Toc32164"/>
      <w:bookmarkStart w:id="471" w:name="_Toc668_WPSOffice_Level3"/>
      <w:bookmarkStart w:id="472" w:name="_Toc20556_WPSOffice_Level3"/>
      <w:bookmarkStart w:id="473" w:name="_Toc26522_WPSOffice_Level3"/>
      <w:bookmarkStart w:id="474" w:name="_Toc532817049"/>
      <w:bookmarkStart w:id="475" w:name="_Toc302723354"/>
      <w:bookmarkStart w:id="476" w:name="_Toc27503_WPSOffice_Level3"/>
      <w:bookmarkStart w:id="477" w:name="_Toc29120"/>
      <w:bookmarkStart w:id="478" w:name="_Toc4553_WPSOffice_Level3"/>
      <w:r>
        <w:rPr>
          <w:rFonts w:ascii="Times New Roman" w:hAnsi="Times New Roman" w:cs="Times New Roman"/>
          <w:b/>
          <w:bCs/>
          <w:color w:val="000000" w:themeColor="text1"/>
          <w:kern w:val="44"/>
          <w:sz w:val="24"/>
          <w:szCs w:val="24"/>
        </w:rPr>
        <w:t>5.2.1主要危险源及监控</w:t>
      </w:r>
      <w:bookmarkEnd w:id="468"/>
      <w:bookmarkEnd w:id="469"/>
      <w:bookmarkEnd w:id="470"/>
      <w:bookmarkEnd w:id="471"/>
      <w:bookmarkEnd w:id="472"/>
      <w:bookmarkEnd w:id="473"/>
      <w:bookmarkEnd w:id="474"/>
      <w:bookmarkEnd w:id="475"/>
      <w:bookmarkEnd w:id="476"/>
      <w:bookmarkEnd w:id="477"/>
      <w:bookmarkEnd w:id="478"/>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 xml:space="preserve">对加油站汽油储存及输送管网、防渗罐池、加油机，含油污水和生活污水，油泥、油渣、沾油消防沙等危险废物等风险源进行监控。应急救援办公室、安全员负责突发环境事件信息接收、报告、处理、统计分析，以及预警信息监控，并根据应急能力情况及可能发生的突发环境事件级别，有针对性的开展应急监控和监测工作。 </w:t>
      </w:r>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479" w:name="_Toc14498"/>
      <w:r>
        <w:rPr>
          <w:rFonts w:ascii="Times New Roman" w:hAnsi="Times New Roman" w:cs="Times New Roman"/>
          <w:color w:val="000000" w:themeColor="text1"/>
          <w:kern w:val="0"/>
          <w:sz w:val="24"/>
          <w:szCs w:val="24"/>
          <w:lang w:val="zh-CN"/>
        </w:rPr>
        <w:t xml:space="preserve">（1）各部门在日常检查中发现，或经群众举报、新闻媒体报道等其它途径得到的重大环境事件隐患，必须立即报应急救援办公室以及时上报指挥领导小组。 </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 xml:space="preserve">（2）对重大环境事件隐患，无论属于哪个部门主管，发现后应立即向应急救援办公室报告以及时上报指挥领导小组。 </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（3）各部门应在上报信息的同时，指派有关人员对突发环境事件隐患的源头进行污染控制，以防止环境污染进一步扩大。</w:t>
      </w:r>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480" w:name="_Toc22725_WPSOffice_Level3"/>
      <w:bookmarkStart w:id="481" w:name="_Toc13664_WPSOffice_Level3"/>
      <w:bookmarkStart w:id="482" w:name="_Toc11416_WPSOffice_Level3"/>
      <w:bookmarkStart w:id="483" w:name="_Toc532817050"/>
      <w:bookmarkStart w:id="484" w:name="_Toc5244"/>
      <w:bookmarkStart w:id="485" w:name="_Toc20158_WPSOffice_Level3"/>
      <w:bookmarkStart w:id="486" w:name="_Toc13699_WPSOffice_Level3"/>
      <w:bookmarkStart w:id="487" w:name="_Toc8742"/>
      <w:bookmarkStart w:id="488" w:name="_Toc20920"/>
      <w:r>
        <w:rPr>
          <w:rFonts w:ascii="Times New Roman" w:hAnsi="Times New Roman" w:cs="Times New Roman"/>
          <w:b/>
          <w:bCs/>
          <w:color w:val="000000" w:themeColor="text1"/>
          <w:kern w:val="44"/>
          <w:sz w:val="24"/>
          <w:szCs w:val="24"/>
        </w:rPr>
        <w:t>5.2.2危险目标周围可利用的安全、消防、个体防护的设备、器材</w:t>
      </w:r>
      <w:bookmarkEnd w:id="479"/>
      <w:bookmarkEnd w:id="480"/>
      <w:bookmarkEnd w:id="481"/>
      <w:bookmarkEnd w:id="482"/>
      <w:bookmarkEnd w:id="483"/>
      <w:bookmarkEnd w:id="484"/>
      <w:bookmarkEnd w:id="485"/>
      <w:bookmarkEnd w:id="486"/>
      <w:bookmarkEnd w:id="487"/>
      <w:bookmarkEnd w:id="488"/>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（1）加油站设置消防器材情况：设置的消防设施</w:t>
      </w:r>
      <w:r>
        <w:rPr>
          <w:rFonts w:ascii="Times New Roman" w:hAnsi="Times New Roman" w:cs="Times New Roman"/>
          <w:color w:val="000000" w:themeColor="text1"/>
          <w:sz w:val="24"/>
          <w:szCs w:val="24"/>
          <w:lang w:val="zh-CN"/>
        </w:rPr>
        <w:t>有</w:t>
      </w:r>
      <w:r>
        <w:rPr>
          <w:rFonts w:hint="eastAsia" w:ascii="Times New Roman" w:hAnsi="Times New Roman" w:cs="Times New Roman"/>
          <w:color w:val="000000" w:themeColor="text1"/>
          <w:sz w:val="24"/>
          <w:szCs w:val="24"/>
          <w:lang w:val="zh-CN"/>
        </w:rPr>
        <w:t>推车式</w:t>
      </w:r>
      <w:r>
        <w:rPr>
          <w:rFonts w:ascii="Times New Roman" w:hAnsi="Times New Roman" w:cs="Times New Roman"/>
          <w:color w:val="000000" w:themeColor="text1"/>
          <w:sz w:val="24"/>
          <w:szCs w:val="24"/>
          <w:lang w:val="zh-CN"/>
        </w:rPr>
        <w:t>干粉灭火器</w:t>
      </w:r>
      <w:r>
        <w:rPr>
          <w:rFonts w:hint="eastAsia" w:ascii="Times New Roman" w:hAnsi="Times New Roman" w:cs="Times New Roman"/>
          <w:color w:val="000000" w:themeColor="text1"/>
          <w:sz w:val="24"/>
          <w:szCs w:val="24"/>
          <w:lang w:val="en-US" w:eastAsia="zh-CN"/>
        </w:rPr>
        <w:t>2台</w:t>
      </w:r>
      <w:r>
        <w:rPr>
          <w:rFonts w:ascii="Times New Roman" w:hAnsi="Times New Roman" w:cs="Times New Roman"/>
          <w:color w:val="000000" w:themeColor="text1"/>
          <w:sz w:val="24"/>
          <w:szCs w:val="24"/>
          <w:lang w:val="zh-CN"/>
        </w:rPr>
        <w:t>、</w:t>
      </w:r>
      <w:r>
        <w:rPr>
          <w:rFonts w:hint="eastAsia" w:ascii="Times New Roman" w:hAnsi="Times New Roman" w:cs="Times New Roman"/>
          <w:color w:val="000000" w:themeColor="text1"/>
          <w:sz w:val="24"/>
          <w:szCs w:val="24"/>
          <w:lang w:val="zh-CN"/>
        </w:rPr>
        <w:t>手提</w:t>
      </w:r>
      <w:r>
        <w:rPr>
          <w:rFonts w:ascii="Times New Roman" w:hAnsi="Times New Roman" w:cs="Times New Roman"/>
          <w:color w:val="000000" w:themeColor="text1"/>
          <w:sz w:val="24"/>
          <w:szCs w:val="24"/>
          <w:lang w:val="zh-CN"/>
        </w:rPr>
        <w:t>式灭火器</w:t>
      </w:r>
      <w:r>
        <w:rPr>
          <w:rFonts w:hint="eastAsia" w:ascii="Times New Roman" w:hAnsi="Times New Roman" w:cs="Times New Roman"/>
          <w:color w:val="000000" w:themeColor="text1"/>
          <w:sz w:val="24"/>
          <w:szCs w:val="24"/>
          <w:lang w:val="en-US" w:eastAsia="zh-CN"/>
        </w:rPr>
        <w:t>20</w:t>
      </w:r>
      <w:r>
        <w:rPr>
          <w:rFonts w:ascii="Times New Roman" w:hAnsi="Times New Roman" w:cs="Times New Roman"/>
          <w:color w:val="000000" w:themeColor="text1"/>
          <w:sz w:val="24"/>
          <w:szCs w:val="24"/>
          <w:lang w:val="zh-CN"/>
        </w:rPr>
        <w:t>具，消防沙</w:t>
      </w:r>
      <w:r>
        <w:rPr>
          <w:rFonts w:hint="eastAsia" w:ascii="Times New Roman" w:hAnsi="Times New Roman" w:cs="Times New Roman"/>
          <w:color w:val="000000" w:themeColor="text1"/>
          <w:sz w:val="24"/>
          <w:szCs w:val="24"/>
          <w:lang w:val="zh-CN"/>
        </w:rPr>
        <w:t>5</w:t>
      </w:r>
      <w:r>
        <w:rPr>
          <w:rFonts w:ascii="Times New Roman" w:hAnsi="Times New Roman" w:cs="Times New Roman"/>
          <w:color w:val="000000" w:themeColor="text1"/>
          <w:sz w:val="24"/>
          <w:szCs w:val="24"/>
          <w:lang w:val="zh-CN"/>
        </w:rPr>
        <w:t>m</w:t>
      </w:r>
      <w:r>
        <w:rPr>
          <w:rFonts w:ascii="Times New Roman" w:hAnsi="Times New Roman" w:cs="Times New Roman"/>
          <w:color w:val="000000" w:themeColor="text1"/>
          <w:sz w:val="24"/>
          <w:szCs w:val="24"/>
          <w:vertAlign w:val="superscript"/>
          <w:lang w:val="zh-CN"/>
        </w:rPr>
        <w:t>3</w:t>
      </w:r>
      <w:r>
        <w:rPr>
          <w:rFonts w:ascii="Times New Roman" w:hAnsi="Times New Roman" w:cs="Times New Roman"/>
          <w:color w:val="000000" w:themeColor="text1"/>
          <w:sz w:val="24"/>
          <w:szCs w:val="24"/>
          <w:lang w:val="zh-CN"/>
        </w:rPr>
        <w:t>、灭火毯</w:t>
      </w:r>
      <w:r>
        <w:rPr>
          <w:rFonts w:ascii="Times New Roman" w:hAnsi="Times New Roman" w:cs="Times New Roman"/>
          <w:color w:val="000000" w:themeColor="text1"/>
          <w:sz w:val="24"/>
          <w:szCs w:val="24"/>
        </w:rPr>
        <w:t>5块</w:t>
      </w:r>
      <w:r>
        <w:rPr>
          <w:rFonts w:hint="eastAsia" w:ascii="Times New Roman" w:hAnsi="Times New Roman" w:cs="Times New Roman"/>
          <w:color w:val="000000" w:themeColor="text1"/>
          <w:sz w:val="24"/>
          <w:szCs w:val="24"/>
        </w:rPr>
        <w:t>、吸油毡5块</w:t>
      </w:r>
      <w:r>
        <w:rPr>
          <w:rFonts w:ascii="Times New Roman" w:hAnsi="Times New Roman" w:cs="Times New Roman"/>
          <w:color w:val="000000" w:themeColor="text1"/>
          <w:sz w:val="24"/>
          <w:szCs w:val="24"/>
          <w:lang w:val="zh-CN"/>
        </w:rPr>
        <w:t>；</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（2）</w:t>
      </w:r>
      <w:r>
        <w:rPr>
          <w:rFonts w:ascii="Times New Roman" w:hAnsi="Times New Roman" w:cs="Times New Roman"/>
          <w:color w:val="000000" w:themeColor="text1"/>
          <w:kern w:val="0"/>
          <w:sz w:val="24"/>
          <w:szCs w:val="24"/>
          <w:lang w:val="zh-CN"/>
        </w:rPr>
        <w:t>加油人员劳动保护用品每月按规定进行发放。</w:t>
      </w:r>
    </w:p>
    <w:p>
      <w:pPr>
        <w:keepNext/>
        <w:keepLines/>
        <w:spacing w:beforeLines="100" w:afterLines="100" w:line="500" w:lineRule="exact"/>
        <w:jc w:val="left"/>
        <w:outlineLvl w:val="1"/>
        <w:rPr>
          <w:rFonts w:ascii="Times New Roman" w:hAnsi="Times New Roman" w:cs="Times New Roman"/>
          <w:b/>
          <w:bCs/>
          <w:color w:val="000000" w:themeColor="text1"/>
          <w:kern w:val="44"/>
          <w:sz w:val="24"/>
          <w:szCs w:val="24"/>
        </w:rPr>
      </w:pPr>
      <w:bookmarkStart w:id="489" w:name="_Toc5119"/>
      <w:bookmarkStart w:id="490" w:name="_Toc9372"/>
      <w:bookmarkStart w:id="491" w:name="_Toc21341_WPSOffice_Level2"/>
      <w:bookmarkStart w:id="492" w:name="_Toc19979_WPSOffice_Level2"/>
      <w:bookmarkStart w:id="493" w:name="_Toc23390"/>
      <w:bookmarkStart w:id="494" w:name="_Toc31572_WPSOffice_Level2"/>
      <w:bookmarkStart w:id="495" w:name="_Toc11416_WPSOffice_Level2"/>
      <w:bookmarkStart w:id="496" w:name="_Toc532817051"/>
      <w:bookmarkStart w:id="497" w:name="_Toc21297_WPSOffice_Level2"/>
      <w:r>
        <w:rPr>
          <w:rFonts w:ascii="Times New Roman" w:hAnsi="Times New Roman" w:cs="Times New Roman"/>
          <w:b/>
          <w:bCs/>
          <w:color w:val="000000" w:themeColor="text1"/>
          <w:kern w:val="44"/>
          <w:sz w:val="24"/>
          <w:szCs w:val="24"/>
        </w:rPr>
        <w:t>5.3应急能力评估</w:t>
      </w:r>
      <w:bookmarkEnd w:id="489"/>
      <w:bookmarkEnd w:id="490"/>
      <w:bookmarkEnd w:id="491"/>
      <w:bookmarkEnd w:id="492"/>
      <w:bookmarkEnd w:id="493"/>
      <w:bookmarkEnd w:id="494"/>
      <w:bookmarkEnd w:id="495"/>
      <w:bookmarkEnd w:id="496"/>
      <w:bookmarkEnd w:id="497"/>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加油站主要危险装置和危险物质：油罐区、加油区，危险废物收集间，污水收集池；危险物质主要是加油站含油污水、油泥、油渣和生活污水、汽油。</w:t>
      </w:r>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498" w:name="_Toc2823_WPSOffice_Level3"/>
      <w:bookmarkStart w:id="499" w:name="_Toc14989_WPSOffice_Level3"/>
      <w:bookmarkStart w:id="500" w:name="_Toc17015"/>
      <w:bookmarkStart w:id="501" w:name="_Toc1786_WPSOffice_Level3"/>
      <w:bookmarkStart w:id="502" w:name="_Toc2870_WPSOffice_Level3"/>
      <w:bookmarkStart w:id="503" w:name="_Toc2562"/>
      <w:bookmarkStart w:id="504" w:name="_Toc27782"/>
      <w:bookmarkStart w:id="505" w:name="_Toc532817052"/>
      <w:bookmarkStart w:id="506" w:name="_Toc1381_WPSOffice_Level3"/>
      <w:r>
        <w:rPr>
          <w:rFonts w:ascii="Times New Roman" w:hAnsi="Times New Roman" w:cs="Times New Roman"/>
          <w:b/>
          <w:bCs/>
          <w:color w:val="000000" w:themeColor="text1"/>
          <w:kern w:val="44"/>
          <w:sz w:val="24"/>
          <w:szCs w:val="24"/>
        </w:rPr>
        <w:t>5.3.1应急队伍、装备、物资</w:t>
      </w:r>
      <w:bookmarkEnd w:id="498"/>
      <w:bookmarkEnd w:id="499"/>
      <w:bookmarkEnd w:id="500"/>
      <w:bookmarkEnd w:id="501"/>
      <w:bookmarkEnd w:id="502"/>
      <w:bookmarkEnd w:id="503"/>
      <w:bookmarkEnd w:id="504"/>
      <w:bookmarkEnd w:id="505"/>
      <w:bookmarkEnd w:id="506"/>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中国</w:t>
      </w:r>
      <w:r>
        <w:rPr>
          <w:rFonts w:hint="eastAsia" w:ascii="Times New Roman" w:hAnsi="Times New Roman" w:cs="Times New Roman"/>
          <w:color w:val="000000" w:themeColor="text1"/>
          <w:kern w:val="0"/>
          <w:sz w:val="24"/>
          <w:szCs w:val="24"/>
          <w:lang w:val="en-US" w:eastAsia="zh-CN"/>
        </w:rPr>
        <w:t>石油天然气</w:t>
      </w:r>
      <w:r>
        <w:rPr>
          <w:rFonts w:ascii="Times New Roman" w:hAnsi="Times New Roman" w:cs="Times New Roman"/>
          <w:color w:val="000000" w:themeColor="text1"/>
          <w:kern w:val="0"/>
          <w:sz w:val="24"/>
          <w:szCs w:val="24"/>
        </w:rPr>
        <w:t>股份有限公司江西南昌</w:t>
      </w:r>
      <w:r>
        <w:rPr>
          <w:rFonts w:hint="eastAsia" w:ascii="Times New Roman" w:hAnsi="Times New Roman" w:cs="Times New Roman"/>
          <w:color w:val="000000" w:themeColor="text1"/>
          <w:kern w:val="0"/>
          <w:sz w:val="24"/>
          <w:szCs w:val="24"/>
          <w:lang w:val="en-US" w:eastAsia="zh-CN"/>
        </w:rPr>
        <w:t>双港大道</w:t>
      </w:r>
      <w:r>
        <w:rPr>
          <w:rFonts w:ascii="Times New Roman" w:hAnsi="Times New Roman" w:cs="Times New Roman"/>
          <w:color w:val="000000" w:themeColor="text1"/>
          <w:kern w:val="0"/>
          <w:sz w:val="24"/>
          <w:szCs w:val="24"/>
        </w:rPr>
        <w:t>加油</w:t>
      </w:r>
      <w:r>
        <w:rPr>
          <w:rFonts w:hint="eastAsia" w:ascii="Times New Roman" w:hAnsi="Times New Roman" w:cs="Times New Roman"/>
          <w:color w:val="000000" w:themeColor="text1"/>
          <w:kern w:val="0"/>
          <w:sz w:val="24"/>
          <w:szCs w:val="24"/>
          <w:lang w:val="en-US" w:eastAsia="zh-CN"/>
        </w:rPr>
        <w:t>站</w:t>
      </w:r>
      <w:r>
        <w:rPr>
          <w:rFonts w:ascii="Times New Roman" w:hAnsi="Times New Roman" w:cs="Times New Roman"/>
          <w:color w:val="000000" w:themeColor="text1"/>
          <w:kern w:val="0"/>
          <w:sz w:val="24"/>
          <w:szCs w:val="24"/>
        </w:rPr>
        <w:t>成立了突发环境事件应急领导小组，小组办公室设在加油站办公室。由站长任组长，安全环保员为副组长，组员由加油站各部门负责人组成。</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突发环境事件应急领导小组根据加油站环境污染源实际情况，分别设立应急办公室、后勤物资保障组。</w:t>
      </w:r>
    </w:p>
    <w:p>
      <w:pPr>
        <w:spacing w:line="500" w:lineRule="exact"/>
        <w:ind w:firstLine="482" w:firstLineChars="200"/>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应急物资与装备配备情况：</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w:t>
      </w:r>
      <w:r>
        <w:rPr>
          <w:rFonts w:hint="eastAsia" w:ascii="Times New Roman" w:hAnsi="Times New Roman" w:cs="Times New Roman"/>
          <w:color w:val="000000" w:themeColor="text1"/>
          <w:kern w:val="0"/>
          <w:sz w:val="24"/>
          <w:szCs w:val="24"/>
        </w:rPr>
        <w:t>加油站设置消防器材情况：设置的消防设施有推车式干粉灭火器</w:t>
      </w:r>
      <w:r>
        <w:rPr>
          <w:rFonts w:hint="eastAsia" w:ascii="Times New Roman" w:hAnsi="Times New Roman" w:cs="Times New Roman"/>
          <w:color w:val="000000" w:themeColor="text1"/>
          <w:kern w:val="0"/>
          <w:sz w:val="24"/>
          <w:szCs w:val="24"/>
          <w:lang w:val="en-US" w:eastAsia="zh-CN"/>
        </w:rPr>
        <w:t>2台</w:t>
      </w:r>
      <w:r>
        <w:rPr>
          <w:rFonts w:hint="eastAsia" w:ascii="Times New Roman" w:hAnsi="Times New Roman" w:cs="Times New Roman"/>
          <w:color w:val="000000" w:themeColor="text1"/>
          <w:kern w:val="0"/>
          <w:sz w:val="24"/>
          <w:szCs w:val="24"/>
        </w:rPr>
        <w:t>、手提式灭火器</w:t>
      </w:r>
      <w:r>
        <w:rPr>
          <w:rFonts w:hint="eastAsia" w:ascii="Times New Roman" w:hAnsi="Times New Roman" w:cs="Times New Roman"/>
          <w:color w:val="000000" w:themeColor="text1"/>
          <w:kern w:val="0"/>
          <w:sz w:val="24"/>
          <w:szCs w:val="24"/>
          <w:lang w:val="en-US" w:eastAsia="zh-CN"/>
        </w:rPr>
        <w:t>20</w:t>
      </w:r>
      <w:r>
        <w:rPr>
          <w:rFonts w:hint="eastAsia" w:ascii="Times New Roman" w:hAnsi="Times New Roman" w:cs="Times New Roman"/>
          <w:color w:val="000000" w:themeColor="text1"/>
          <w:kern w:val="0"/>
          <w:sz w:val="24"/>
          <w:szCs w:val="24"/>
        </w:rPr>
        <w:t>具，消防沙5</w:t>
      </w:r>
      <w:r>
        <w:rPr>
          <w:rFonts w:hint="eastAsia" w:ascii="Times New Roman" w:hAnsi="Times New Roman" w:cs="Times New Roman"/>
          <w:color w:val="000000" w:themeColor="text1"/>
          <w:kern w:val="0"/>
          <w:position w:val="-4"/>
          <w:sz w:val="24"/>
          <w:szCs w:val="24"/>
        </w:rPr>
        <w:object>
          <v:shape id="_x0000_i1037" o:spt="75" type="#_x0000_t75" style="height:15pt;width:17pt;" o:ole="t" filled="f" o:preferrelative="t" stroked="f" coordsize="21600,21600">
            <v:path/>
            <v:fill on="f" focussize="0,0"/>
            <v:stroke on="f"/>
            <v:imagedata r:id="rId32" o:title=""/>
            <o:lock v:ext="edit" aspectratio="t"/>
            <w10:wrap type="none"/>
            <w10:anchorlock/>
          </v:shape>
          <o:OLEObject Type="Embed" ProgID="Equation.KSEE3" ShapeID="_x0000_i1037" DrawAspect="Content" ObjectID="_1468075737" r:id="rId31">
            <o:LockedField>false</o:LockedField>
          </o:OLEObject>
        </w:object>
      </w:r>
      <w:r>
        <w:rPr>
          <w:rFonts w:hint="eastAsia" w:ascii="Times New Roman" w:hAnsi="Times New Roman" w:cs="Times New Roman"/>
          <w:color w:val="000000" w:themeColor="text1"/>
          <w:kern w:val="0"/>
          <w:sz w:val="24"/>
          <w:szCs w:val="24"/>
        </w:rPr>
        <w:t>、灭火毯5块、吸油毡5块</w:t>
      </w:r>
      <w:r>
        <w:rPr>
          <w:rFonts w:ascii="Times New Roman" w:hAnsi="Times New Roman" w:cs="Times New Roman"/>
          <w:color w:val="000000" w:themeColor="text1"/>
          <w:kern w:val="0"/>
          <w:sz w:val="24"/>
          <w:szCs w:val="24"/>
        </w:rPr>
        <w:t>；</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（2）加油人员劳动保护用品每月按规定进行发放。</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通讯保障：加油站设有固定电话、移动电话。</w:t>
      </w:r>
    </w:p>
    <w:p>
      <w:pPr>
        <w:keepNext/>
        <w:keepLines/>
        <w:spacing w:beforeLines="100" w:afterLines="100" w:line="500" w:lineRule="exact"/>
        <w:jc w:val="left"/>
        <w:outlineLvl w:val="2"/>
        <w:rPr>
          <w:rFonts w:ascii="Times New Roman" w:hAnsi="Times New Roman" w:cs="Times New Roman"/>
          <w:b/>
          <w:bCs/>
          <w:color w:val="000000" w:themeColor="text1"/>
          <w:kern w:val="44"/>
          <w:sz w:val="24"/>
          <w:szCs w:val="24"/>
        </w:rPr>
      </w:pPr>
      <w:bookmarkStart w:id="507" w:name="_Toc532817053"/>
      <w:bookmarkStart w:id="508" w:name="_Toc20896_WPSOffice_Level3"/>
      <w:bookmarkStart w:id="509" w:name="_Toc5166"/>
      <w:bookmarkStart w:id="510" w:name="_Toc9787_WPSOffice_Level3"/>
      <w:bookmarkStart w:id="511" w:name="_Toc1864"/>
      <w:bookmarkStart w:id="512" w:name="_Toc17746_WPSOffice_Level3"/>
      <w:bookmarkStart w:id="513" w:name="_Toc22942"/>
      <w:bookmarkStart w:id="514" w:name="_Toc31572_WPSOffice_Level3"/>
      <w:bookmarkStart w:id="515" w:name="_Toc16787_WPSOffice_Level3"/>
      <w:r>
        <w:rPr>
          <w:rFonts w:ascii="Times New Roman" w:hAnsi="Times New Roman" w:cs="Times New Roman"/>
          <w:b/>
          <w:bCs/>
          <w:color w:val="000000" w:themeColor="text1"/>
          <w:kern w:val="44"/>
          <w:sz w:val="24"/>
          <w:szCs w:val="24"/>
        </w:rPr>
        <w:t>5.3.2评估结论</w:t>
      </w:r>
      <w:bookmarkEnd w:id="507"/>
      <w:bookmarkEnd w:id="508"/>
      <w:bookmarkEnd w:id="509"/>
      <w:bookmarkEnd w:id="510"/>
      <w:bookmarkEnd w:id="511"/>
      <w:bookmarkEnd w:id="512"/>
      <w:bookmarkEnd w:id="513"/>
      <w:bookmarkEnd w:id="514"/>
      <w:bookmarkEnd w:id="515"/>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在全面调查和客观分析加油站主要事故风险、应急队伍、装备、物资等应急资源状况的基础上，针对可能发生的事故类型，详细检查了应急能力，加油站管理人员和员工已从事加油业务经营多年，对加油站经营过程中危险因素及事故处理经验丰富，现应急能力可满足应急救援工作的需要。在今后的应急管理工作中应做好以下工作：</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加强组织建设。一是成立加油站应急管理办公室。明确具体负责人负责此项工作，并抽调专（兼）职工作人员，协调办理应急管理日常事务。加油员及相关部门明确承担应急管理工作的具体办事机构。同时，成立相应的应急队伍。二是建立健全了管理制度。加油站建立领导带班和值班制度，严格实行24小时值班。员工加强学习，熟悉预案内容和管理规程，进一步明确工作职责。</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做好突发环境事件预防和处置。一是强化信息报送工作。各班员工按照要求，及时上报信息。二是建立风险隐患排查责任制。定期组织力量开展风险隐患排查工作，全面掌握加油站区域各类风险隐患情况，建立分级、分类管理制度，层层落实责任制。</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加强应急演练和队伍建设。建立以安全环保员、应急救援办公室、物资保障后勤组为应急救援的骨干力量，加强培训和演练，增强应急意识，提高避险和应急自救能力。围绕重点区域和薄弱环节，推进应急管理建设，开展应急管理宣传教育、人员培训、预案演练，提高加油站领导干部指挥水平和管理人员应急救援的专业技能。加强应急体系建设工作的督促检查，确保各项工作规范运作，落实到位。重点加强对加油人员的宣传、教育与培训工作，通过宣传、教育与培训，让加油站全体加油人员了解预案内容，懂得应急程序，掌握相关知识，提高应急能力。</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（4）加强预案体系建设。继续高度重视应急预案的编制工作，注重提高预案质量，通过演练不断补充完善各类应急预案，增强预案的科学性、可操作性和实用性。</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加大资金投入，促进应急体系建设。从加强监测预警、应急指挥、应急队伍和后勤保障系统建设入手，加大资金投入，提高应急管理水平。一是从加强应急管理体制、人员、通讯、物资、装备、救援队伍等方面入手，建立健全应急资源信息库，强化基础，为应急管理工作提供组织、物资、装备保障；二是建立和完善具有快速反应能力的专业化救援队伍，提高救援装备水平，增强应急反应和抢险救援能力。</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（6）设置事故应急池，确保事故废水（含油废水、消防废水）安全收集。</w:t>
      </w:r>
    </w:p>
    <w:p>
      <w:pPr>
        <w:keepNext/>
        <w:keepLines/>
        <w:spacing w:beforeLines="100" w:afterLines="100" w:line="500" w:lineRule="exact"/>
        <w:jc w:val="left"/>
        <w:outlineLvl w:val="1"/>
        <w:rPr>
          <w:rFonts w:ascii="Times New Roman" w:hAnsi="Times New Roman" w:cs="Times New Roman"/>
          <w:b/>
          <w:bCs/>
          <w:color w:val="000000" w:themeColor="text1"/>
          <w:kern w:val="44"/>
          <w:sz w:val="24"/>
          <w:szCs w:val="24"/>
        </w:rPr>
      </w:pPr>
      <w:bookmarkStart w:id="516" w:name="_Toc31413"/>
      <w:bookmarkStart w:id="517" w:name="_Toc22164_WPSOffice_Level2"/>
      <w:bookmarkStart w:id="518" w:name="_Toc24754"/>
      <w:bookmarkStart w:id="519" w:name="_Toc532817054"/>
      <w:bookmarkStart w:id="520" w:name="_Toc5021_WPSOffice_Level2"/>
      <w:bookmarkStart w:id="521" w:name="_Toc25316_WPSOffice_Level2"/>
      <w:bookmarkStart w:id="522" w:name="_Toc30116_WPSOffice_Level2"/>
      <w:bookmarkStart w:id="523" w:name="_Toc14017_WPSOffice_Level2"/>
      <w:r>
        <w:rPr>
          <w:rFonts w:ascii="Times New Roman" w:hAnsi="Times New Roman" w:cs="Times New Roman"/>
          <w:b/>
          <w:bCs/>
          <w:color w:val="000000" w:themeColor="text1"/>
          <w:kern w:val="44"/>
          <w:sz w:val="24"/>
          <w:szCs w:val="24"/>
        </w:rPr>
        <w:t>5.4预警行动</w:t>
      </w:r>
      <w:bookmarkEnd w:id="516"/>
      <w:bookmarkEnd w:id="517"/>
      <w:bookmarkEnd w:id="518"/>
      <w:bookmarkEnd w:id="519"/>
      <w:bookmarkEnd w:id="520"/>
      <w:bookmarkEnd w:id="521"/>
      <w:bookmarkEnd w:id="522"/>
      <w:bookmarkEnd w:id="523"/>
    </w:p>
    <w:p>
      <w:pPr>
        <w:spacing w:line="500" w:lineRule="exact"/>
        <w:ind w:firstLine="480" w:firstLineChars="200"/>
        <w:jc w:val="left"/>
        <w:rPr>
          <w:rFonts w:ascii="Times New Roman" w:hAnsi="Times New Roman" w:cs="Times New Roman"/>
          <w:color w:val="000000" w:themeColor="text1"/>
          <w:kern w:val="0"/>
          <w:sz w:val="24"/>
          <w:szCs w:val="24"/>
        </w:rPr>
      </w:pPr>
      <w:bookmarkStart w:id="524" w:name="_Toc16676_WPSOffice_Level3"/>
      <w:bookmarkStart w:id="525" w:name="_Toc5021_WPSOffice_Level3"/>
      <w:bookmarkStart w:id="526" w:name="_Toc25798_WPSOffice_Level3"/>
      <w:bookmarkStart w:id="527" w:name="_Toc22164_WPSOffice_Level3"/>
      <w:bookmarkStart w:id="528" w:name="_Toc28860_WPSOffice_Level3"/>
      <w:bookmarkStart w:id="529" w:name="_Toc375668951"/>
      <w:r>
        <w:rPr>
          <w:rFonts w:ascii="Times New Roman" w:hAnsi="Times New Roman" w:cs="Times New Roman"/>
          <w:color w:val="000000" w:themeColor="text1"/>
          <w:kern w:val="0"/>
          <w:sz w:val="24"/>
          <w:szCs w:val="24"/>
        </w:rPr>
        <w:t>1、预警级别</w:t>
      </w:r>
      <w:bookmarkEnd w:id="524"/>
      <w:bookmarkEnd w:id="525"/>
      <w:bookmarkEnd w:id="526"/>
      <w:bookmarkEnd w:id="527"/>
      <w:bookmarkEnd w:id="528"/>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按照突发环境事件严重性、紧急程度和可能波及的范围，对突发环境污染事故的预警分为：不可控级预警（</w:t>
      </w:r>
      <w:r>
        <w:rPr>
          <w:rFonts w:hint="eastAsia" w:ascii="宋体" w:hAnsi="宋体" w:eastAsia="宋体" w:cs="宋体"/>
          <w:color w:val="000000" w:themeColor="text1"/>
          <w:kern w:val="0"/>
          <w:sz w:val="24"/>
          <w:szCs w:val="24"/>
        </w:rPr>
        <w:t>Ⅰ</w:t>
      </w:r>
      <w:r>
        <w:rPr>
          <w:rFonts w:ascii="Times New Roman" w:hAnsi="Times New Roman" w:cs="Times New Roman"/>
          <w:color w:val="000000" w:themeColor="text1"/>
          <w:kern w:val="0"/>
          <w:sz w:val="24"/>
          <w:szCs w:val="24"/>
        </w:rPr>
        <w:t>级-社会级）、可控级预警（</w:t>
      </w:r>
      <w:r>
        <w:rPr>
          <w:rFonts w:hint="eastAsia" w:ascii="宋体" w:hAnsi="宋体" w:eastAsia="宋体" w:cs="宋体"/>
          <w:color w:val="000000" w:themeColor="text1"/>
          <w:kern w:val="0"/>
          <w:sz w:val="24"/>
          <w:szCs w:val="24"/>
        </w:rPr>
        <w:t>Ⅱ</w:t>
      </w:r>
      <w:r>
        <w:rPr>
          <w:rFonts w:ascii="Times New Roman" w:hAnsi="Times New Roman" w:cs="Times New Roman"/>
          <w:color w:val="000000" w:themeColor="text1"/>
          <w:kern w:val="0"/>
          <w:sz w:val="24"/>
          <w:szCs w:val="24"/>
        </w:rPr>
        <w:t>级-加油站内部级）。根据事态的发展情况和采取措施的效果，预警可以升级、降级或解除。进入预警状态后，应当采取的措施：</w:t>
      </w:r>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①</w:t>
      </w:r>
      <w:r>
        <w:rPr>
          <w:rFonts w:ascii="Times New Roman" w:hAnsi="Times New Roman" w:cs="Times New Roman"/>
          <w:color w:val="000000" w:themeColor="text1"/>
          <w:kern w:val="0"/>
          <w:sz w:val="24"/>
          <w:szCs w:val="24"/>
        </w:rPr>
        <w:t>立即启动相关应急预案；</w:t>
      </w:r>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②</w:t>
      </w:r>
      <w:r>
        <w:rPr>
          <w:rFonts w:ascii="Times New Roman" w:hAnsi="Times New Roman" w:cs="Times New Roman"/>
          <w:color w:val="000000" w:themeColor="text1"/>
          <w:kern w:val="0"/>
          <w:sz w:val="24"/>
          <w:szCs w:val="24"/>
        </w:rPr>
        <w:t>发布预警公告；</w:t>
      </w:r>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③</w:t>
      </w:r>
      <w:r>
        <w:rPr>
          <w:rFonts w:ascii="Times New Roman" w:hAnsi="Times New Roman" w:cs="Times New Roman"/>
          <w:color w:val="000000" w:themeColor="text1"/>
          <w:kern w:val="0"/>
          <w:sz w:val="24"/>
          <w:szCs w:val="24"/>
        </w:rPr>
        <w:t>转移、撤离或者疏散可能受到危害的人员，并进行妥善安置；</w:t>
      </w:r>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④</w:t>
      </w:r>
      <w:r>
        <w:rPr>
          <w:rFonts w:ascii="Times New Roman" w:hAnsi="Times New Roman" w:cs="Times New Roman"/>
          <w:color w:val="000000" w:themeColor="text1"/>
          <w:kern w:val="0"/>
          <w:sz w:val="24"/>
          <w:szCs w:val="24"/>
        </w:rPr>
        <w:t>指令各环境应急救援队伍进入应急状态，应急总指挥随时掌 握并报告事态进展情况，如有需要外委南昌</w:t>
      </w:r>
      <w:r>
        <w:rPr>
          <w:rFonts w:hint="eastAsia" w:ascii="Times New Roman" w:hAnsi="Times New Roman" w:cs="Times New Roman"/>
          <w:color w:val="000000" w:themeColor="text1"/>
          <w:kern w:val="0"/>
          <w:sz w:val="24"/>
          <w:szCs w:val="24"/>
          <w:lang w:val="en-US" w:eastAsia="zh-CN"/>
        </w:rPr>
        <w:t>市</w:t>
      </w:r>
      <w:r>
        <w:rPr>
          <w:rFonts w:ascii="Times New Roman" w:hAnsi="Times New Roman" w:cs="Times New Roman"/>
          <w:color w:val="000000" w:themeColor="text1"/>
          <w:kern w:val="0"/>
          <w:sz w:val="24"/>
          <w:szCs w:val="24"/>
        </w:rPr>
        <w:t>环境监测站或其他单位进行应急监测；</w:t>
      </w:r>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⑤</w:t>
      </w:r>
      <w:r>
        <w:rPr>
          <w:rFonts w:ascii="Times New Roman" w:hAnsi="Times New Roman" w:cs="Times New Roman"/>
          <w:color w:val="000000" w:themeColor="text1"/>
          <w:kern w:val="0"/>
          <w:sz w:val="24"/>
          <w:szCs w:val="24"/>
        </w:rPr>
        <w:t>针对突发环境事故可能造成的危害，封闭、隔离或者限制使用有关场所，中止可能导致危害扩大的行为和活动；</w:t>
      </w:r>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⑥</w:t>
      </w:r>
      <w:r>
        <w:rPr>
          <w:rFonts w:ascii="Times New Roman" w:hAnsi="Times New Roman" w:cs="Times New Roman"/>
          <w:color w:val="000000" w:themeColor="text1"/>
          <w:kern w:val="0"/>
          <w:sz w:val="24"/>
          <w:szCs w:val="24"/>
        </w:rPr>
        <w:t>调集环境应急所需物资和装备，确保应急保障工作。</w:t>
      </w:r>
    </w:p>
    <w:p>
      <w:pPr>
        <w:spacing w:line="500" w:lineRule="exact"/>
        <w:ind w:firstLine="480" w:firstLineChars="200"/>
        <w:jc w:val="left"/>
        <w:rPr>
          <w:rFonts w:ascii="Times New Roman" w:hAnsi="Times New Roman" w:cs="Times New Roman"/>
          <w:color w:val="000000" w:themeColor="text1"/>
          <w:kern w:val="0"/>
          <w:sz w:val="24"/>
          <w:szCs w:val="24"/>
        </w:rPr>
      </w:pPr>
      <w:bookmarkStart w:id="530" w:name="_Toc17738_WPSOffice_Level3"/>
      <w:bookmarkStart w:id="531" w:name="_Toc22106_WPSOffice_Level3"/>
      <w:bookmarkStart w:id="532" w:name="_Toc11036_WPSOffice_Level3"/>
      <w:bookmarkStart w:id="533" w:name="_Toc24276_WPSOffice_Level3"/>
      <w:bookmarkStart w:id="534" w:name="_Toc19245_WPSOffice_Level3"/>
      <w:r>
        <w:rPr>
          <w:rFonts w:ascii="Times New Roman" w:hAnsi="Times New Roman" w:cs="Times New Roman"/>
          <w:color w:val="000000" w:themeColor="text1"/>
          <w:kern w:val="0"/>
          <w:sz w:val="24"/>
          <w:szCs w:val="24"/>
        </w:rPr>
        <w:t>2、预警行动</w:t>
      </w:r>
      <w:bookmarkEnd w:id="529"/>
      <w:bookmarkEnd w:id="530"/>
      <w:bookmarkEnd w:id="531"/>
      <w:bookmarkEnd w:id="532"/>
      <w:bookmarkEnd w:id="533"/>
      <w:bookmarkEnd w:id="534"/>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加油站应急救援指挥部接到可能事故信息后，按照分级响应的原则及时研究确定应对方案，并通知加油站人员采取有效措施预防事故发生；当应急救援指挥部认为事故较大，有可能超出加油站处置能力时，及时向南昌</w:t>
      </w:r>
      <w:r>
        <w:rPr>
          <w:rFonts w:hint="eastAsia" w:ascii="Times New Roman" w:hAnsi="Times New Roman" w:cs="Times New Roman"/>
          <w:color w:val="000000" w:themeColor="text1"/>
          <w:kern w:val="0"/>
          <w:sz w:val="24"/>
          <w:szCs w:val="24"/>
          <w:lang w:val="en-US" w:eastAsia="zh-CN"/>
        </w:rPr>
        <w:t>市</w:t>
      </w:r>
      <w:r>
        <w:rPr>
          <w:rFonts w:ascii="Times New Roman" w:hAnsi="Times New Roman" w:cs="Times New Roman"/>
          <w:color w:val="000000" w:themeColor="text1"/>
          <w:kern w:val="0"/>
          <w:sz w:val="24"/>
          <w:szCs w:val="24"/>
        </w:rPr>
        <w:t>应急办等报告，及时研究应对方案，采取预警行动。</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为能及时联系和尽快掌握发生事故的状况，组长、副组长的电话必须24h开机，以保持信息畅通，及时掌握事故动态，以便尽快赶赴事故现场进行指挥和做出正确的决策。</w:t>
      </w:r>
    </w:p>
    <w:p>
      <w:pPr>
        <w:spacing w:line="500" w:lineRule="exact"/>
        <w:ind w:firstLine="480" w:firstLineChars="200"/>
        <w:jc w:val="left"/>
        <w:rPr>
          <w:rFonts w:ascii="Times New Roman" w:hAnsi="Times New Roman" w:cs="Times New Roman"/>
          <w:color w:val="000000" w:themeColor="text1"/>
          <w:kern w:val="0"/>
          <w:sz w:val="24"/>
          <w:szCs w:val="24"/>
        </w:rPr>
      </w:pPr>
      <w:bookmarkStart w:id="535" w:name="_Toc145_WPSOffice_Level3"/>
      <w:bookmarkStart w:id="536" w:name="_Toc8805_WPSOffice_Level3"/>
      <w:bookmarkStart w:id="537" w:name="_Toc25432_WPSOffice_Level3"/>
      <w:bookmarkStart w:id="538" w:name="_Toc13894_WPSOffice_Level3"/>
      <w:bookmarkStart w:id="539" w:name="_Toc24668_WPSOffice_Level3"/>
      <w:r>
        <w:rPr>
          <w:rFonts w:ascii="Times New Roman" w:hAnsi="Times New Roman" w:cs="Times New Roman"/>
          <w:color w:val="000000" w:themeColor="text1"/>
          <w:kern w:val="0"/>
          <w:sz w:val="24"/>
          <w:szCs w:val="24"/>
        </w:rPr>
        <w:t>3、预警信息</w:t>
      </w:r>
      <w:bookmarkEnd w:id="535"/>
      <w:bookmarkEnd w:id="536"/>
      <w:bookmarkEnd w:id="537"/>
      <w:bookmarkEnd w:id="538"/>
      <w:bookmarkEnd w:id="539"/>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预警信息包括突发环境事件的类型、预警级别、起始时间、可能影响范围、警示事项、应采取的措施和发布机关等。主要发布途径有电视台、广播、各类公共显示屏、短信息、互联网、内外部有线电话和无线通信等。预警公告内容详见表5-1。</w:t>
      </w:r>
    </w:p>
    <w:p>
      <w:pPr>
        <w:spacing w:line="360" w:lineRule="auto"/>
        <w:jc w:val="center"/>
        <w:rPr>
          <w:rFonts w:ascii="Times New Roman" w:hAnsi="Times New Roman" w:cs="Times New Roman"/>
          <w:b/>
          <w:bCs/>
          <w:color w:val="000000" w:themeColor="text1"/>
          <w:szCs w:val="21"/>
        </w:rPr>
      </w:pPr>
      <w:r>
        <w:rPr>
          <w:rFonts w:ascii="Times New Roman" w:hAnsi="Times New Roman" w:cs="Times New Roman"/>
          <w:b/>
          <w:bCs/>
          <w:color w:val="000000" w:themeColor="text1"/>
          <w:szCs w:val="21"/>
        </w:rPr>
        <w:t>表5-1  公司突发事件预警公告</w:t>
      </w:r>
    </w:p>
    <w:tbl>
      <w:tblPr>
        <w:tblStyle w:val="14"/>
        <w:tblW w:w="93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24"/>
        <w:gridCol w:w="3126"/>
        <w:gridCol w:w="31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24" w:type="dxa"/>
            <w:vAlign w:val="center"/>
          </w:tcPr>
          <w:p>
            <w:pPr>
              <w:jc w:val="center"/>
              <w:rPr>
                <w:rFonts w:ascii="Times New Roman" w:hAnsi="Times New Roman" w:cs="Times New Roman"/>
                <w:b/>
                <w:color w:val="000000" w:themeColor="text1"/>
                <w:szCs w:val="21"/>
              </w:rPr>
            </w:pPr>
            <w:r>
              <w:rPr>
                <w:rFonts w:ascii="Times New Roman" w:hAnsi="Times New Roman" w:cs="Times New Roman"/>
                <w:b/>
                <w:color w:val="000000" w:themeColor="text1"/>
                <w:szCs w:val="21"/>
              </w:rPr>
              <w:t>序号</w:t>
            </w:r>
          </w:p>
        </w:tc>
        <w:tc>
          <w:tcPr>
            <w:tcW w:w="3126" w:type="dxa"/>
            <w:vAlign w:val="center"/>
          </w:tcPr>
          <w:p>
            <w:pPr>
              <w:jc w:val="center"/>
              <w:rPr>
                <w:rFonts w:ascii="Times New Roman" w:hAnsi="Times New Roman" w:cs="Times New Roman"/>
                <w:b/>
                <w:color w:val="000000" w:themeColor="text1"/>
                <w:szCs w:val="21"/>
              </w:rPr>
            </w:pPr>
            <w:r>
              <w:rPr>
                <w:rFonts w:ascii="Times New Roman" w:hAnsi="Times New Roman" w:cs="Times New Roman"/>
                <w:b/>
                <w:color w:val="000000" w:themeColor="text1"/>
                <w:szCs w:val="21"/>
              </w:rPr>
              <w:t>项目</w:t>
            </w:r>
          </w:p>
        </w:tc>
        <w:tc>
          <w:tcPr>
            <w:tcW w:w="3126" w:type="dxa"/>
            <w:vAlign w:val="center"/>
          </w:tcPr>
          <w:p>
            <w:pPr>
              <w:jc w:val="center"/>
              <w:rPr>
                <w:rFonts w:ascii="Times New Roman" w:hAnsi="Times New Roman" w:cs="Times New Roman"/>
                <w:b/>
                <w:color w:val="000000" w:themeColor="text1"/>
                <w:szCs w:val="21"/>
              </w:rPr>
            </w:pPr>
            <w:r>
              <w:rPr>
                <w:rFonts w:ascii="Times New Roman" w:hAnsi="Times New Roman" w:cs="Times New Roman"/>
                <w:b/>
                <w:color w:val="000000" w:themeColor="text1"/>
                <w:szCs w:val="21"/>
              </w:rPr>
              <w:t>公告内容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24"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1</w:t>
            </w:r>
          </w:p>
        </w:tc>
        <w:tc>
          <w:tcPr>
            <w:tcW w:w="3126"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突发环境事件的类型</w:t>
            </w:r>
          </w:p>
        </w:tc>
        <w:tc>
          <w:tcPr>
            <w:tcW w:w="3126" w:type="dxa"/>
            <w:vAlign w:val="center"/>
          </w:tcPr>
          <w:p>
            <w:pPr>
              <w:jc w:val="center"/>
              <w:rPr>
                <w:rFonts w:ascii="Times New Roman" w:hAnsi="Times New Roman" w:cs="Times New Roman"/>
                <w:color w:val="000000" w:themeColor="text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24"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2</w:t>
            </w:r>
          </w:p>
        </w:tc>
        <w:tc>
          <w:tcPr>
            <w:tcW w:w="3126"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预警级别</w:t>
            </w:r>
          </w:p>
        </w:tc>
        <w:tc>
          <w:tcPr>
            <w:tcW w:w="3126" w:type="dxa"/>
            <w:vAlign w:val="center"/>
          </w:tcPr>
          <w:p>
            <w:pPr>
              <w:jc w:val="center"/>
              <w:rPr>
                <w:rFonts w:ascii="Times New Roman" w:hAnsi="Times New Roman" w:cs="Times New Roman"/>
                <w:color w:val="000000" w:themeColor="text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24"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3</w:t>
            </w:r>
          </w:p>
        </w:tc>
        <w:tc>
          <w:tcPr>
            <w:tcW w:w="3126"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预警区域或场所</w:t>
            </w:r>
          </w:p>
        </w:tc>
        <w:tc>
          <w:tcPr>
            <w:tcW w:w="3126" w:type="dxa"/>
            <w:vAlign w:val="center"/>
          </w:tcPr>
          <w:p>
            <w:pPr>
              <w:jc w:val="center"/>
              <w:rPr>
                <w:rFonts w:ascii="Times New Roman" w:hAnsi="Times New Roman" w:cs="Times New Roman"/>
                <w:color w:val="000000" w:themeColor="text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24"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4</w:t>
            </w:r>
          </w:p>
        </w:tc>
        <w:tc>
          <w:tcPr>
            <w:tcW w:w="3126"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预警起始时间</w:t>
            </w:r>
          </w:p>
        </w:tc>
        <w:tc>
          <w:tcPr>
            <w:tcW w:w="3126" w:type="dxa"/>
            <w:vAlign w:val="center"/>
          </w:tcPr>
          <w:p>
            <w:pPr>
              <w:jc w:val="center"/>
              <w:rPr>
                <w:rFonts w:ascii="Times New Roman" w:hAnsi="Times New Roman" w:cs="Times New Roman"/>
                <w:color w:val="000000" w:themeColor="text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24"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5</w:t>
            </w:r>
          </w:p>
        </w:tc>
        <w:tc>
          <w:tcPr>
            <w:tcW w:w="3126"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可能影响范围</w:t>
            </w:r>
          </w:p>
        </w:tc>
        <w:tc>
          <w:tcPr>
            <w:tcW w:w="3126" w:type="dxa"/>
            <w:vAlign w:val="center"/>
          </w:tcPr>
          <w:p>
            <w:pPr>
              <w:jc w:val="center"/>
              <w:rPr>
                <w:rFonts w:ascii="Times New Roman" w:hAnsi="Times New Roman" w:cs="Times New Roman"/>
                <w:color w:val="000000" w:themeColor="text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24"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6</w:t>
            </w:r>
          </w:p>
        </w:tc>
        <w:tc>
          <w:tcPr>
            <w:tcW w:w="3126"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警示事项</w:t>
            </w:r>
          </w:p>
        </w:tc>
        <w:tc>
          <w:tcPr>
            <w:tcW w:w="3126" w:type="dxa"/>
            <w:vAlign w:val="center"/>
          </w:tcPr>
          <w:p>
            <w:pPr>
              <w:jc w:val="center"/>
              <w:rPr>
                <w:rFonts w:ascii="Times New Roman" w:hAnsi="Times New Roman" w:cs="Times New Roman"/>
                <w:color w:val="000000" w:themeColor="text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24"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7</w:t>
            </w:r>
          </w:p>
        </w:tc>
        <w:tc>
          <w:tcPr>
            <w:tcW w:w="3126"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应采取的措施</w:t>
            </w:r>
          </w:p>
        </w:tc>
        <w:tc>
          <w:tcPr>
            <w:tcW w:w="3126" w:type="dxa"/>
            <w:vAlign w:val="center"/>
          </w:tcPr>
          <w:p>
            <w:pPr>
              <w:jc w:val="center"/>
              <w:rPr>
                <w:rFonts w:ascii="Times New Roman" w:hAnsi="Times New Roman" w:cs="Times New Roman"/>
                <w:color w:val="000000" w:themeColor="text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24"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8</w:t>
            </w:r>
          </w:p>
        </w:tc>
        <w:tc>
          <w:tcPr>
            <w:tcW w:w="3126"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发布机关</w:t>
            </w:r>
          </w:p>
        </w:tc>
        <w:tc>
          <w:tcPr>
            <w:tcW w:w="3126" w:type="dxa"/>
            <w:vAlign w:val="center"/>
          </w:tcPr>
          <w:p>
            <w:pPr>
              <w:jc w:val="center"/>
              <w:rPr>
                <w:rFonts w:ascii="Times New Roman" w:hAnsi="Times New Roman" w:cs="Times New Roman"/>
                <w:color w:val="000000" w:themeColor="text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24"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9</w:t>
            </w:r>
          </w:p>
        </w:tc>
        <w:tc>
          <w:tcPr>
            <w:tcW w:w="3126" w:type="dxa"/>
            <w:vAlign w:val="center"/>
          </w:tcPr>
          <w:p>
            <w:pPr>
              <w:jc w:val="center"/>
              <w:rPr>
                <w:rFonts w:ascii="Times New Roman" w:hAnsi="Times New Roman" w:cs="Times New Roman"/>
                <w:color w:val="000000" w:themeColor="text1"/>
                <w:szCs w:val="21"/>
              </w:rPr>
            </w:pPr>
            <w:r>
              <w:rPr>
                <w:rFonts w:ascii="Times New Roman" w:hAnsi="Times New Roman" w:cs="Times New Roman"/>
                <w:color w:val="000000" w:themeColor="text1"/>
                <w:szCs w:val="21"/>
              </w:rPr>
              <w:t>备注</w:t>
            </w:r>
          </w:p>
        </w:tc>
        <w:tc>
          <w:tcPr>
            <w:tcW w:w="3126" w:type="dxa"/>
            <w:vAlign w:val="center"/>
          </w:tcPr>
          <w:p>
            <w:pPr>
              <w:jc w:val="center"/>
              <w:rPr>
                <w:rFonts w:ascii="Times New Roman" w:hAnsi="Times New Roman" w:cs="Times New Roman"/>
                <w:color w:val="000000" w:themeColor="text1"/>
                <w:szCs w:val="21"/>
              </w:rPr>
            </w:pPr>
          </w:p>
        </w:tc>
      </w:tr>
    </w:tbl>
    <w:p>
      <w:pPr>
        <w:spacing w:line="500" w:lineRule="exact"/>
        <w:ind w:firstLine="480" w:firstLineChars="200"/>
        <w:jc w:val="left"/>
        <w:rPr>
          <w:rFonts w:ascii="Times New Roman" w:hAnsi="Times New Roman" w:cs="Times New Roman"/>
          <w:color w:val="000000" w:themeColor="text1"/>
          <w:kern w:val="0"/>
          <w:sz w:val="24"/>
          <w:szCs w:val="24"/>
        </w:rPr>
      </w:pPr>
      <w:bookmarkStart w:id="540" w:name="_Toc4341_WPSOffice_Level3"/>
      <w:bookmarkStart w:id="541" w:name="_Toc13933_WPSOffice_Level3"/>
      <w:bookmarkStart w:id="542" w:name="_Toc18397_WPSOffice_Level3"/>
      <w:bookmarkStart w:id="543" w:name="_Toc25049_WPSOffice_Level3"/>
      <w:bookmarkStart w:id="544" w:name="_Toc3603_WPSOffice_Level3"/>
      <w:r>
        <w:rPr>
          <w:rFonts w:ascii="Times New Roman" w:hAnsi="Times New Roman" w:cs="Times New Roman"/>
          <w:color w:val="000000" w:themeColor="text1"/>
          <w:kern w:val="0"/>
          <w:sz w:val="24"/>
          <w:szCs w:val="24"/>
        </w:rPr>
        <w:t>4、预警的发布和解除</w:t>
      </w:r>
      <w:bookmarkEnd w:id="540"/>
      <w:bookmarkEnd w:id="541"/>
      <w:bookmarkEnd w:id="542"/>
      <w:bookmarkEnd w:id="543"/>
      <w:bookmarkEnd w:id="544"/>
    </w:p>
    <w:p>
      <w:pPr>
        <w:spacing w:line="500" w:lineRule="exact"/>
        <w:ind w:firstLine="480" w:firstLineChars="200"/>
        <w:jc w:val="left"/>
        <w:rPr>
          <w:rFonts w:ascii="Times New Roman" w:hAnsi="Times New Roman" w:cs="Times New Roman"/>
          <w:color w:val="000000" w:themeColor="text1"/>
          <w:kern w:val="0"/>
          <w:sz w:val="24"/>
          <w:szCs w:val="24"/>
        </w:rPr>
      </w:pPr>
      <w:bookmarkStart w:id="545" w:name="_Toc256847798"/>
      <w:bookmarkStart w:id="546" w:name="_Toc256847697"/>
      <w:r>
        <w:rPr>
          <w:rFonts w:ascii="Times New Roman" w:hAnsi="Times New Roman" w:cs="Times New Roman"/>
          <w:color w:val="000000" w:themeColor="text1"/>
          <w:kern w:val="0"/>
          <w:sz w:val="24"/>
          <w:szCs w:val="24"/>
        </w:rPr>
        <w:t>预警信息的发布一般通过紧急会议、电话、短信系统、网络等方式进行，预警信息包括突发事件的类别、预警级别、起始时间、可能影响范围、警示事项、应采取的措施和发布单位等。</w:t>
      </w:r>
    </w:p>
    <w:p>
      <w:pPr>
        <w:spacing w:line="500" w:lineRule="exact"/>
        <w:ind w:firstLine="480" w:firstLineChars="200"/>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①</w:t>
      </w:r>
      <w:r>
        <w:rPr>
          <w:rFonts w:ascii="Times New Roman" w:hAnsi="Times New Roman" w:cs="Times New Roman"/>
          <w:color w:val="000000" w:themeColor="text1"/>
          <w:kern w:val="0"/>
          <w:sz w:val="24"/>
          <w:szCs w:val="24"/>
        </w:rPr>
        <w:t>达到</w:t>
      </w:r>
      <w:r>
        <w:rPr>
          <w:rFonts w:hint="eastAsia" w:ascii="宋体" w:hAnsi="宋体" w:eastAsia="宋体" w:cs="宋体"/>
          <w:color w:val="000000" w:themeColor="text1"/>
          <w:kern w:val="0"/>
          <w:sz w:val="24"/>
          <w:szCs w:val="24"/>
        </w:rPr>
        <w:t>Ⅰ</w:t>
      </w:r>
      <w:r>
        <w:rPr>
          <w:rFonts w:ascii="Times New Roman" w:hAnsi="Times New Roman" w:cs="Times New Roman"/>
          <w:color w:val="000000" w:themeColor="text1"/>
          <w:kern w:val="0"/>
          <w:sz w:val="24"/>
          <w:szCs w:val="24"/>
        </w:rPr>
        <w:t>级预警标准的，由应急总指挥部确认预警级别、预警范围，并发布预警信息；</w:t>
      </w:r>
    </w:p>
    <w:p>
      <w:pPr>
        <w:spacing w:line="500" w:lineRule="exact"/>
        <w:ind w:firstLine="480" w:firstLineChars="200"/>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②</w:t>
      </w:r>
      <w:r>
        <w:rPr>
          <w:rFonts w:ascii="Times New Roman" w:hAnsi="Times New Roman" w:cs="Times New Roman"/>
          <w:color w:val="000000" w:themeColor="text1"/>
          <w:kern w:val="0"/>
          <w:sz w:val="24"/>
          <w:szCs w:val="24"/>
        </w:rPr>
        <w:t>达到</w:t>
      </w:r>
      <w:r>
        <w:rPr>
          <w:rFonts w:hint="eastAsia" w:ascii="宋体" w:hAnsi="宋体" w:eastAsia="宋体" w:cs="宋体"/>
          <w:color w:val="000000" w:themeColor="text1"/>
          <w:kern w:val="0"/>
          <w:sz w:val="24"/>
          <w:szCs w:val="24"/>
        </w:rPr>
        <w:t>Ⅱ</w:t>
      </w:r>
      <w:r>
        <w:rPr>
          <w:rFonts w:ascii="Times New Roman" w:hAnsi="Times New Roman" w:cs="Times New Roman"/>
          <w:color w:val="000000" w:themeColor="text1"/>
          <w:kern w:val="0"/>
          <w:sz w:val="24"/>
          <w:szCs w:val="24"/>
        </w:rPr>
        <w:t>级预警标准的，由应急指挥组确认预警级别、预警范围，并发布预警信息；</w:t>
      </w:r>
    </w:p>
    <w:p>
      <w:pPr>
        <w:spacing w:line="500" w:lineRule="exact"/>
        <w:ind w:firstLine="480" w:firstLineChars="200"/>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构成预警条件已经消除时，由公司应急总指挥部下达预警结束指令。</w:t>
      </w:r>
      <w:bookmarkEnd w:id="545"/>
      <w:bookmarkEnd w:id="546"/>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547" w:name="_Toc18893"/>
      <w:bookmarkStart w:id="548" w:name="_Toc17738_WPSOffice_Level2"/>
      <w:bookmarkStart w:id="549" w:name="_Toc10893_WPSOffice_Level2"/>
      <w:bookmarkStart w:id="550" w:name="_Toc3780_WPSOffice_Level2"/>
      <w:bookmarkStart w:id="551" w:name="_Toc30192_WPSOffice_Level2"/>
      <w:bookmarkStart w:id="552" w:name="_Toc555"/>
      <w:bookmarkStart w:id="553" w:name="_Toc20861_WPSOffice_Level2"/>
      <w:bookmarkStart w:id="554" w:name="_Toc802"/>
      <w:r>
        <w:rPr>
          <w:rFonts w:ascii="Times New Roman" w:hAnsi="Times New Roman" w:cs="Times New Roman"/>
          <w:b/>
          <w:bCs/>
          <w:color w:val="000000" w:themeColor="text1"/>
          <w:sz w:val="24"/>
          <w:szCs w:val="24"/>
        </w:rPr>
        <w:t>5.5报警、通讯联络方式</w:t>
      </w:r>
      <w:bookmarkEnd w:id="547"/>
      <w:bookmarkEnd w:id="548"/>
      <w:bookmarkEnd w:id="549"/>
      <w:bookmarkEnd w:id="550"/>
      <w:bookmarkEnd w:id="551"/>
      <w:bookmarkEnd w:id="552"/>
      <w:bookmarkEnd w:id="553"/>
      <w:bookmarkEnd w:id="554"/>
    </w:p>
    <w:p>
      <w:pPr>
        <w:keepNext/>
        <w:keepLines/>
        <w:spacing w:beforeLines="50" w:afterLines="50" w:line="500" w:lineRule="exact"/>
        <w:jc w:val="left"/>
        <w:outlineLvl w:val="2"/>
        <w:rPr>
          <w:rFonts w:ascii="Times New Roman" w:hAnsi="Times New Roman" w:cs="Times New Roman"/>
          <w:b/>
          <w:color w:val="000000" w:themeColor="text1"/>
          <w:sz w:val="24"/>
          <w:szCs w:val="24"/>
        </w:rPr>
      </w:pPr>
      <w:bookmarkStart w:id="555" w:name="_Toc5742_WPSOffice_Level3"/>
      <w:bookmarkStart w:id="556" w:name="_Toc25148_WPSOffice_Level3"/>
      <w:bookmarkStart w:id="557" w:name="_Toc10893_WPSOffice_Level3"/>
      <w:bookmarkStart w:id="558" w:name="_Toc10151"/>
      <w:bookmarkStart w:id="559" w:name="_Toc2964_WPSOffice_Level3"/>
      <w:bookmarkStart w:id="560" w:name="_Toc26300"/>
      <w:bookmarkStart w:id="561" w:name="_Toc74_WPSOffice_Level3"/>
      <w:bookmarkStart w:id="562" w:name="_Toc5229"/>
      <w:r>
        <w:rPr>
          <w:rFonts w:ascii="Times New Roman" w:hAnsi="Times New Roman" w:cs="Times New Roman"/>
          <w:b/>
          <w:color w:val="000000" w:themeColor="text1"/>
          <w:sz w:val="24"/>
          <w:szCs w:val="24"/>
        </w:rPr>
        <w:t>5.5.1事故报警与救援程序</w:t>
      </w:r>
      <w:bookmarkEnd w:id="555"/>
      <w:bookmarkEnd w:id="556"/>
      <w:bookmarkEnd w:id="557"/>
      <w:bookmarkEnd w:id="558"/>
      <w:bookmarkEnd w:id="559"/>
      <w:bookmarkEnd w:id="560"/>
      <w:bookmarkEnd w:id="561"/>
      <w:bookmarkEnd w:id="562"/>
    </w:p>
    <w:p>
      <w:pPr>
        <w:spacing w:afterLines="50"/>
        <w:jc w:val="center"/>
        <w:rPr>
          <w:rFonts w:ascii="Times New Roman" w:hAnsi="Times New Roman" w:cs="Times New Roman"/>
          <w:b/>
          <w:color w:val="000000" w:themeColor="text1"/>
          <w:sz w:val="24"/>
          <w:szCs w:val="24"/>
        </w:rPr>
      </w:pPr>
      <w:r>
        <w:rPr>
          <w:rFonts w:ascii="Times New Roman" w:hAnsi="Times New Roman" w:cs="Times New Roman"/>
          <w:color w:val="000000" w:themeColor="text1"/>
          <w:sz w:val="28"/>
          <w:szCs w:val="24"/>
        </w:rPr>
        <w:drawing>
          <wp:anchor distT="0" distB="0" distL="114300" distR="114300" simplePos="0" relativeHeight="251639808" behindDoc="0" locked="0" layoutInCell="1" allowOverlap="1">
            <wp:simplePos x="0" y="0"/>
            <wp:positionH relativeFrom="column">
              <wp:posOffset>69850</wp:posOffset>
            </wp:positionH>
            <wp:positionV relativeFrom="paragraph">
              <wp:posOffset>25400</wp:posOffset>
            </wp:positionV>
            <wp:extent cx="5209540" cy="5846445"/>
            <wp:effectExtent l="0" t="0" r="10160" b="1905"/>
            <wp:wrapTopAndBottom/>
            <wp:docPr id="41" name="图片 4" descr="C:\Users\ADMINI~1\AppData\Local\Temp\ksohtml\wps3169.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 descr="C:\Users\ADMINI~1\AppData\Local\Temp\ksohtml\wps3169.tmp.png"/>
                    <pic:cNvPicPr>
                      <a:picLocks noChangeAspect="1"/>
                    </pic:cNvPicPr>
                  </pic:nvPicPr>
                  <pic:blipFill>
                    <a:blip r:embed="rId33" cstate="print"/>
                    <a:srcRect l="-1450"/>
                    <a:stretch>
                      <a:fillRect/>
                    </a:stretch>
                  </pic:blipFill>
                  <pic:spPr>
                    <a:xfrm>
                      <a:off x="0" y="0"/>
                      <a:ext cx="5209540" cy="5846445"/>
                    </a:xfrm>
                    <a:prstGeom prst="rect">
                      <a:avLst/>
                    </a:prstGeom>
                    <a:noFill/>
                    <a:ln>
                      <a:noFill/>
                    </a:ln>
                  </pic:spPr>
                </pic:pic>
              </a:graphicData>
            </a:graphic>
          </wp:anchor>
        </w:drawing>
      </w:r>
      <w:r>
        <w:rPr>
          <w:rFonts w:ascii="Times New Roman" w:hAnsi="Times New Roman" w:cs="Times New Roman"/>
          <w:b/>
          <w:color w:val="000000" w:themeColor="text1"/>
          <w:sz w:val="24"/>
          <w:szCs w:val="24"/>
        </w:rPr>
        <w:t>图5-1  应急响应工作流程图</w:t>
      </w:r>
    </w:p>
    <w:p>
      <w:pPr>
        <w:rPr>
          <w:rFonts w:ascii="Times New Roman" w:hAnsi="Times New Roman" w:cs="Times New Roman"/>
          <w:color w:val="000000" w:themeColor="text1"/>
          <w:sz w:val="28"/>
          <w:szCs w:val="20"/>
        </w:rPr>
      </w:pPr>
    </w:p>
    <w:p>
      <w:pPr>
        <w:spacing w:line="500" w:lineRule="exact"/>
        <w:ind w:firstLine="480" w:firstLineChars="200"/>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lang w:val="zh-CN"/>
        </w:rPr>
        <w:t>凡符合下列情况之一的，由应急领导小组组长宣布启动</w:t>
      </w:r>
      <w:r>
        <w:rPr>
          <w:rFonts w:ascii="Times New Roman" w:hAnsi="Times New Roman" w:cs="Times New Roman"/>
          <w:color w:val="000000" w:themeColor="text1"/>
          <w:spacing w:val="-10"/>
          <w:kern w:val="0"/>
          <w:sz w:val="24"/>
          <w:szCs w:val="24"/>
          <w:lang w:val="zh-CN"/>
        </w:rPr>
        <w:t>I</w:t>
      </w:r>
      <w:r>
        <w:rPr>
          <w:rFonts w:ascii="Times New Roman" w:hAnsi="Times New Roman" w:cs="Times New Roman"/>
          <w:color w:val="000000" w:themeColor="text1"/>
          <w:kern w:val="0"/>
          <w:sz w:val="24"/>
          <w:szCs w:val="24"/>
          <w:lang w:val="zh-CN"/>
        </w:rPr>
        <w:t>级应急预案：</w:t>
      </w:r>
    </w:p>
    <w:p>
      <w:pPr>
        <w:spacing w:line="500" w:lineRule="exact"/>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kern w:val="0"/>
          <w:sz w:val="24"/>
          <w:szCs w:val="24"/>
          <w:lang w:val="zh-CN"/>
        </w:rPr>
        <w:t>①</w:t>
      </w:r>
      <w:r>
        <w:rPr>
          <w:rFonts w:ascii="Times New Roman" w:hAnsi="Times New Roman" w:cs="Times New Roman"/>
          <w:color w:val="000000" w:themeColor="text1"/>
          <w:kern w:val="0"/>
          <w:sz w:val="24"/>
          <w:szCs w:val="24"/>
          <w:lang w:val="zh-CN"/>
        </w:rPr>
        <w:t>发生或可能发生I级及以上突发环境事件；</w:t>
      </w:r>
    </w:p>
    <w:p>
      <w:pPr>
        <w:spacing w:line="500" w:lineRule="exact"/>
        <w:ind w:firstLine="480" w:firstLineChars="200"/>
        <w:rPr>
          <w:rFonts w:ascii="Times New Roman" w:hAnsi="Times New Roman" w:cs="Times New Roman"/>
          <w:color w:val="000000" w:themeColor="text1"/>
          <w:kern w:val="0"/>
          <w:sz w:val="24"/>
          <w:szCs w:val="24"/>
        </w:rPr>
      </w:pPr>
      <w:r>
        <w:rPr>
          <w:rFonts w:hint="eastAsia" w:ascii="宋体" w:hAnsi="宋体" w:eastAsia="宋体" w:cs="宋体"/>
          <w:color w:val="000000" w:themeColor="text1"/>
          <w:sz w:val="24"/>
          <w:szCs w:val="24"/>
        </w:rPr>
        <w:t>②</w:t>
      </w:r>
      <w:r>
        <w:rPr>
          <w:rFonts w:ascii="Times New Roman" w:hAnsi="Times New Roman" w:cs="Times New Roman"/>
          <w:color w:val="000000" w:themeColor="text1"/>
          <w:kern w:val="0"/>
          <w:sz w:val="24"/>
          <w:szCs w:val="24"/>
          <w:lang w:val="zh-CN"/>
        </w:rPr>
        <w:t>发生</w:t>
      </w:r>
      <w:r>
        <w:rPr>
          <w:rFonts w:ascii="Times New Roman" w:hAnsi="Times New Roman" w:cs="Times New Roman"/>
          <w:color w:val="000000" w:themeColor="text1"/>
          <w:spacing w:val="-10"/>
          <w:kern w:val="0"/>
          <w:sz w:val="24"/>
          <w:szCs w:val="24"/>
          <w:lang w:val="zh-CN"/>
        </w:rPr>
        <w:t>II</w:t>
      </w: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spacing w:val="-10"/>
          <w:kern w:val="0"/>
          <w:sz w:val="24"/>
          <w:szCs w:val="24"/>
          <w:lang w:val="zh-CN"/>
        </w:rPr>
        <w:t>III</w:t>
      </w:r>
      <w:r>
        <w:rPr>
          <w:rFonts w:ascii="Times New Roman" w:hAnsi="Times New Roman" w:cs="Times New Roman"/>
          <w:color w:val="000000" w:themeColor="text1"/>
          <w:kern w:val="0"/>
          <w:sz w:val="24"/>
          <w:szCs w:val="24"/>
          <w:lang w:val="zh-CN"/>
        </w:rPr>
        <w:t>级突发事件，事件部门请求全公司给予支援或帮助；</w:t>
      </w:r>
    </w:p>
    <w:p>
      <w:pPr>
        <w:spacing w:line="500" w:lineRule="exact"/>
        <w:ind w:firstLine="480" w:firstLineChars="200"/>
        <w:rPr>
          <w:rFonts w:ascii="Times New Roman" w:hAnsi="Times New Roman" w:cs="Times New Roman"/>
          <w:color w:val="000000" w:themeColor="text1"/>
          <w:kern w:val="0"/>
          <w:sz w:val="24"/>
          <w:szCs w:val="24"/>
          <w:lang w:val="zh-CN"/>
        </w:rPr>
      </w:pPr>
      <w:r>
        <w:rPr>
          <w:rFonts w:hint="eastAsia" w:ascii="宋体" w:hAnsi="宋体" w:eastAsia="宋体" w:cs="宋体"/>
          <w:color w:val="000000" w:themeColor="text1"/>
          <w:kern w:val="0"/>
          <w:sz w:val="24"/>
          <w:szCs w:val="24"/>
          <w:lang w:val="zh-CN"/>
        </w:rPr>
        <w:t>③</w:t>
      </w:r>
      <w:r>
        <w:rPr>
          <w:rFonts w:ascii="Times New Roman" w:hAnsi="Times New Roman" w:cs="Times New Roman"/>
          <w:color w:val="000000" w:themeColor="text1"/>
          <w:kern w:val="0"/>
          <w:sz w:val="24"/>
          <w:szCs w:val="24"/>
          <w:lang w:val="zh-CN"/>
        </w:rPr>
        <w:t>应地方政府应急联动要求。</w:t>
      </w:r>
    </w:p>
    <w:p>
      <w:pPr>
        <w:spacing w:line="500" w:lineRule="exact"/>
        <w:ind w:firstLine="480" w:firstLineChars="200"/>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lang w:val="zh-CN"/>
        </w:rPr>
        <w:t>凡符合下列情况之一的，由部门经理宣布启动</w:t>
      </w:r>
      <w:r>
        <w:rPr>
          <w:rFonts w:ascii="Times New Roman" w:hAnsi="Times New Roman" w:cs="Times New Roman"/>
          <w:color w:val="000000" w:themeColor="text1"/>
          <w:spacing w:val="-10"/>
          <w:kern w:val="0"/>
          <w:sz w:val="24"/>
          <w:szCs w:val="24"/>
          <w:lang w:val="zh-CN"/>
        </w:rPr>
        <w:t>II</w:t>
      </w:r>
      <w:r>
        <w:rPr>
          <w:rFonts w:ascii="Times New Roman" w:hAnsi="Times New Roman" w:cs="Times New Roman"/>
          <w:color w:val="000000" w:themeColor="text1"/>
          <w:kern w:val="0"/>
          <w:sz w:val="24"/>
          <w:szCs w:val="24"/>
          <w:lang w:val="zh-CN"/>
        </w:rPr>
        <w:t>级应急预案：</w:t>
      </w:r>
    </w:p>
    <w:p>
      <w:pPr>
        <w:spacing w:line="500" w:lineRule="exact"/>
        <w:ind w:firstLine="480" w:firstLineChars="200"/>
        <w:rPr>
          <w:rFonts w:ascii="Times New Roman" w:hAnsi="Times New Roman" w:cs="Times New Roman"/>
          <w:color w:val="000000" w:themeColor="text1"/>
          <w:kern w:val="0"/>
          <w:sz w:val="24"/>
          <w:szCs w:val="24"/>
          <w:lang w:val="zh-CN"/>
        </w:rPr>
      </w:pPr>
      <w:r>
        <w:rPr>
          <w:rFonts w:hint="eastAsia" w:ascii="宋体" w:hAnsi="宋体" w:eastAsia="宋体" w:cs="宋体"/>
          <w:color w:val="000000" w:themeColor="text1"/>
          <w:kern w:val="0"/>
          <w:sz w:val="24"/>
          <w:szCs w:val="24"/>
          <w:lang w:val="zh-CN"/>
        </w:rPr>
        <w:t>①</w:t>
      </w:r>
      <w:r>
        <w:rPr>
          <w:rFonts w:ascii="Times New Roman" w:hAnsi="Times New Roman" w:cs="Times New Roman"/>
          <w:color w:val="000000" w:themeColor="text1"/>
          <w:kern w:val="0"/>
          <w:sz w:val="24"/>
          <w:szCs w:val="24"/>
          <w:lang w:val="zh-CN"/>
        </w:rPr>
        <w:t>发生</w:t>
      </w:r>
      <w:r>
        <w:rPr>
          <w:rFonts w:ascii="Times New Roman" w:hAnsi="Times New Roman" w:cs="Times New Roman"/>
          <w:color w:val="000000" w:themeColor="text1"/>
          <w:spacing w:val="-10"/>
          <w:kern w:val="0"/>
          <w:sz w:val="24"/>
          <w:szCs w:val="24"/>
          <w:lang w:val="zh-CN"/>
        </w:rPr>
        <w:t>II</w:t>
      </w: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spacing w:val="-10"/>
          <w:kern w:val="0"/>
          <w:sz w:val="24"/>
          <w:szCs w:val="24"/>
          <w:lang w:val="zh-CN"/>
        </w:rPr>
        <w:t>III</w:t>
      </w:r>
      <w:r>
        <w:rPr>
          <w:rFonts w:ascii="Times New Roman" w:hAnsi="Times New Roman" w:cs="Times New Roman"/>
          <w:color w:val="000000" w:themeColor="text1"/>
          <w:kern w:val="0"/>
          <w:sz w:val="24"/>
          <w:szCs w:val="24"/>
          <w:lang w:val="zh-CN"/>
        </w:rPr>
        <w:t>级突发事件；</w:t>
      </w:r>
    </w:p>
    <w:p>
      <w:pPr>
        <w:spacing w:line="500" w:lineRule="exact"/>
        <w:ind w:firstLine="480" w:firstLineChars="200"/>
        <w:rPr>
          <w:rFonts w:ascii="Times New Roman" w:hAnsi="Times New Roman" w:cs="Times New Roman"/>
          <w:color w:val="000000" w:themeColor="text1"/>
          <w:sz w:val="24"/>
          <w:szCs w:val="24"/>
        </w:rPr>
      </w:pPr>
      <w:r>
        <w:rPr>
          <w:rFonts w:hint="eastAsia" w:ascii="宋体" w:hAnsi="宋体" w:eastAsia="宋体" w:cs="宋体"/>
          <w:color w:val="000000" w:themeColor="text1"/>
          <w:kern w:val="0"/>
          <w:sz w:val="24"/>
          <w:szCs w:val="24"/>
          <w:lang w:val="zh-CN"/>
        </w:rPr>
        <w:t>②</w:t>
      </w:r>
      <w:r>
        <w:rPr>
          <w:rFonts w:ascii="Times New Roman" w:hAnsi="Times New Roman" w:cs="Times New Roman"/>
          <w:color w:val="000000" w:themeColor="text1"/>
          <w:kern w:val="0"/>
          <w:sz w:val="24"/>
          <w:szCs w:val="24"/>
          <w:lang w:val="zh-CN"/>
        </w:rPr>
        <w:t>应公司应急联动要求。</w:t>
      </w:r>
    </w:p>
    <w:p>
      <w:pPr>
        <w:spacing w:line="500" w:lineRule="exact"/>
        <w:ind w:firstLine="480" w:firstLineChars="200"/>
        <w:rPr>
          <w:rFonts w:ascii="Times New Roman" w:hAnsi="Times New Roman" w:cs="Times New Roman"/>
          <w:color w:val="000000" w:themeColor="text1"/>
          <w:kern w:val="0"/>
          <w:sz w:val="24"/>
          <w:szCs w:val="24"/>
        </w:rPr>
      </w:pPr>
      <w:r>
        <w:rPr>
          <w:rFonts w:ascii="Times New Roman" w:hAnsi="Times New Roman" w:cs="Times New Roman"/>
          <w:color w:val="000000" w:themeColor="text1"/>
          <w:sz w:val="24"/>
          <w:szCs w:val="24"/>
        </w:rPr>
        <w:t>（4）</w:t>
      </w:r>
      <w:r>
        <w:rPr>
          <w:rFonts w:ascii="Times New Roman" w:hAnsi="Times New Roman" w:cs="Times New Roman"/>
          <w:color w:val="000000" w:themeColor="text1"/>
          <w:kern w:val="0"/>
          <w:sz w:val="24"/>
          <w:szCs w:val="24"/>
          <w:lang w:val="zh-CN"/>
        </w:rPr>
        <w:t>配合有关部门应急响应</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kern w:val="0"/>
          <w:sz w:val="24"/>
          <w:szCs w:val="24"/>
          <w:lang w:val="zh-CN"/>
        </w:rPr>
        <w:t>当公司启动</w:t>
      </w:r>
      <w:r>
        <w:rPr>
          <w:rFonts w:ascii="Times New Roman" w:hAnsi="Times New Roman" w:cs="Times New Roman"/>
          <w:color w:val="000000" w:themeColor="text1"/>
          <w:spacing w:val="-10"/>
          <w:kern w:val="0"/>
          <w:sz w:val="24"/>
          <w:szCs w:val="24"/>
          <w:lang w:val="zh-CN"/>
        </w:rPr>
        <w:t>I</w:t>
      </w:r>
      <w:r>
        <w:rPr>
          <w:rFonts w:ascii="Times New Roman" w:hAnsi="Times New Roman" w:cs="Times New Roman"/>
          <w:color w:val="000000" w:themeColor="text1"/>
          <w:kern w:val="0"/>
          <w:sz w:val="24"/>
          <w:szCs w:val="24"/>
          <w:lang w:val="zh-CN"/>
        </w:rPr>
        <w:t>级应急响应时，</w:t>
      </w:r>
      <w:r>
        <w:rPr>
          <w:rFonts w:ascii="Times New Roman" w:hAnsi="Times New Roman" w:cs="Times New Roman"/>
          <w:color w:val="000000" w:themeColor="text1"/>
          <w:kern w:val="0"/>
          <w:sz w:val="24"/>
          <w:szCs w:val="24"/>
        </w:rPr>
        <w:t>南昌</w:t>
      </w:r>
      <w:r>
        <w:rPr>
          <w:rFonts w:ascii="Times New Roman" w:hAnsi="Times New Roman" w:cs="Times New Roman"/>
          <w:color w:val="000000" w:themeColor="text1"/>
          <w:kern w:val="0"/>
          <w:sz w:val="24"/>
          <w:szCs w:val="24"/>
          <w:lang w:val="zh-CN"/>
        </w:rPr>
        <w:t>市环保局、</w:t>
      </w:r>
      <w:r>
        <w:rPr>
          <w:rFonts w:ascii="Times New Roman" w:hAnsi="Times New Roman" w:cs="Times New Roman"/>
          <w:color w:val="000000" w:themeColor="text1"/>
          <w:kern w:val="0"/>
          <w:sz w:val="24"/>
          <w:szCs w:val="24"/>
        </w:rPr>
        <w:t>南昌市</w:t>
      </w:r>
      <w:r>
        <w:rPr>
          <w:rFonts w:ascii="Times New Roman" w:hAnsi="Times New Roman" w:cs="Times New Roman"/>
          <w:color w:val="000000" w:themeColor="text1"/>
          <w:kern w:val="0"/>
          <w:sz w:val="24"/>
          <w:szCs w:val="24"/>
          <w:lang w:val="zh-CN"/>
        </w:rPr>
        <w:t>人民政府启动环境应急预案，派遣工作小组到达现场参与救援指挥，公司应急指挥权交由</w:t>
      </w:r>
      <w:r>
        <w:rPr>
          <w:rFonts w:ascii="Times New Roman" w:hAnsi="Times New Roman" w:cs="Times New Roman"/>
          <w:color w:val="000000" w:themeColor="text1"/>
          <w:kern w:val="0"/>
          <w:sz w:val="24"/>
          <w:szCs w:val="24"/>
        </w:rPr>
        <w:t>南昌</w:t>
      </w:r>
      <w:r>
        <w:rPr>
          <w:rFonts w:ascii="Times New Roman" w:hAnsi="Times New Roman" w:cs="Times New Roman"/>
          <w:color w:val="000000" w:themeColor="text1"/>
          <w:kern w:val="0"/>
          <w:sz w:val="24"/>
          <w:szCs w:val="24"/>
          <w:lang w:val="zh-CN"/>
        </w:rPr>
        <w:t>市环保局或</w:t>
      </w:r>
      <w:r>
        <w:rPr>
          <w:rFonts w:ascii="Times New Roman" w:hAnsi="Times New Roman" w:cs="Times New Roman"/>
          <w:color w:val="000000" w:themeColor="text1"/>
          <w:kern w:val="0"/>
          <w:sz w:val="24"/>
          <w:szCs w:val="24"/>
        </w:rPr>
        <w:t>南昌市</w:t>
      </w:r>
      <w:r>
        <w:rPr>
          <w:rFonts w:ascii="Times New Roman" w:hAnsi="Times New Roman" w:cs="Times New Roman"/>
          <w:color w:val="000000" w:themeColor="text1"/>
          <w:kern w:val="0"/>
          <w:sz w:val="24"/>
          <w:szCs w:val="24"/>
          <w:lang w:val="zh-CN"/>
        </w:rPr>
        <w:t>人民政府，公司应急小组成员应服从指挥，全力配合应急行动，应急物资也交由指挥部统一指挥调配。</w:t>
      </w:r>
    </w:p>
    <w:p>
      <w:pPr>
        <w:keepNext/>
        <w:keepLines/>
        <w:spacing w:afterLines="50" w:line="500" w:lineRule="exact"/>
        <w:jc w:val="left"/>
        <w:outlineLvl w:val="2"/>
        <w:rPr>
          <w:rFonts w:ascii="Times New Roman" w:hAnsi="Times New Roman" w:cs="Times New Roman"/>
          <w:b/>
          <w:color w:val="000000" w:themeColor="text1"/>
          <w:sz w:val="24"/>
          <w:szCs w:val="24"/>
        </w:rPr>
      </w:pPr>
      <w:bookmarkStart w:id="563" w:name="_Toc10439"/>
      <w:bookmarkStart w:id="564" w:name="_Toc17930"/>
      <w:bookmarkStart w:id="565" w:name="_Toc19919_WPSOffice_Level3"/>
      <w:bookmarkStart w:id="566" w:name="_Toc1412_WPSOffice_Level3"/>
      <w:bookmarkStart w:id="567" w:name="_Toc15556_WPSOffice_Level3"/>
      <w:bookmarkStart w:id="568" w:name="_Toc641_WPSOffice_Level3"/>
      <w:bookmarkStart w:id="569" w:name="_Toc22205_WPSOffice_Level3"/>
      <w:r>
        <w:rPr>
          <w:rFonts w:ascii="Times New Roman" w:hAnsi="Times New Roman" w:cs="Times New Roman"/>
          <w:b/>
          <w:color w:val="000000" w:themeColor="text1"/>
          <w:sz w:val="24"/>
          <w:szCs w:val="24"/>
        </w:rPr>
        <w:t>5.5.1 报警联络方式</w:t>
      </w:r>
      <w:bookmarkEnd w:id="563"/>
      <w:bookmarkEnd w:id="564"/>
      <w:bookmarkEnd w:id="565"/>
      <w:bookmarkEnd w:id="566"/>
      <w:bookmarkEnd w:id="567"/>
      <w:bookmarkEnd w:id="568"/>
      <w:bookmarkEnd w:id="569"/>
      <w:bookmarkStart w:id="570" w:name="_Toc330049734"/>
    </w:p>
    <w:p>
      <w:pPr>
        <w:spacing w:line="360" w:lineRule="auto"/>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电话或口头通知各部门及相关人员，实行电话值班制，现场人员要第一时间拨打值班长、站长和应急救援办公室电话。值班长接到报告后，应立即向应急救援指挥部领导汇报。</w:t>
      </w:r>
    </w:p>
    <w:p>
      <w:pPr>
        <w:spacing w:line="360" w:lineRule="auto"/>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相关人员联系方式详见附表：应急救援通信录。</w:t>
      </w:r>
    </w:p>
    <w:p>
      <w:pPr>
        <w:keepNext/>
        <w:keepLines/>
        <w:spacing w:afterLines="50" w:line="500" w:lineRule="exact"/>
        <w:jc w:val="left"/>
        <w:outlineLvl w:val="2"/>
        <w:rPr>
          <w:rFonts w:ascii="Times New Roman" w:hAnsi="Times New Roman" w:cs="Times New Roman"/>
          <w:b/>
          <w:color w:val="000000" w:themeColor="text1"/>
          <w:sz w:val="24"/>
          <w:szCs w:val="24"/>
        </w:rPr>
      </w:pPr>
      <w:bookmarkStart w:id="571" w:name="_Toc30907"/>
      <w:bookmarkStart w:id="572" w:name="_Toc1353_WPSOffice_Level3"/>
      <w:bookmarkStart w:id="573" w:name="_Toc22280"/>
      <w:bookmarkStart w:id="574" w:name="_Toc14371_WPSOffice_Level3"/>
      <w:bookmarkStart w:id="575" w:name="_Toc11026_WPSOffice_Level3"/>
      <w:bookmarkStart w:id="576" w:name="_Toc12119_WPSOffice_Level3"/>
      <w:bookmarkStart w:id="577" w:name="_Toc25360"/>
      <w:bookmarkStart w:id="578" w:name="_Toc21642_WPSOffice_Level3"/>
      <w:bookmarkStart w:id="579" w:name="_Toc31540"/>
      <w:r>
        <w:rPr>
          <w:rFonts w:ascii="Times New Roman" w:hAnsi="Times New Roman" w:cs="Times New Roman"/>
          <w:b/>
          <w:color w:val="000000" w:themeColor="text1"/>
          <w:sz w:val="24"/>
          <w:szCs w:val="24"/>
        </w:rPr>
        <w:t>5.5.2 内部通讯方式</w:t>
      </w:r>
      <w:bookmarkEnd w:id="570"/>
      <w:bookmarkEnd w:id="571"/>
      <w:bookmarkEnd w:id="572"/>
      <w:bookmarkEnd w:id="573"/>
      <w:bookmarkEnd w:id="574"/>
      <w:bookmarkEnd w:id="575"/>
      <w:bookmarkEnd w:id="576"/>
      <w:bookmarkEnd w:id="577"/>
      <w:bookmarkEnd w:id="578"/>
      <w:bookmarkEnd w:id="579"/>
    </w:p>
    <w:p>
      <w:pPr>
        <w:widowControl/>
        <w:spacing w:line="360" w:lineRule="auto"/>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（1）加油站值班室24小时有人值班，要求值班人员熟悉危险目标位置和发生危险事故的应急处理方式。</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加油站值班电话：</w:t>
      </w:r>
      <w:r>
        <w:rPr>
          <w:rFonts w:hint="default" w:ascii="Times New Roman" w:hAnsi="Times New Roman" w:cs="Times New Roman"/>
          <w:color w:val="auto"/>
          <w:sz w:val="24"/>
          <w:szCs w:val="24"/>
          <w:lang w:val="en-US" w:eastAsia="zh-CN"/>
        </w:rPr>
        <w:t>15979192143</w:t>
      </w:r>
    </w:p>
    <w:p>
      <w:pPr>
        <w:spacing w:line="360" w:lineRule="auto"/>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（2）24小时有效的内部通讯联络手段</w:t>
      </w:r>
    </w:p>
    <w:p>
      <w:pPr>
        <w:widowControl/>
        <w:spacing w:line="360" w:lineRule="auto"/>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内部联系电话：总经理电话：看附件5</w:t>
      </w:r>
    </w:p>
    <w:p>
      <w:pPr>
        <w:widowControl/>
        <w:spacing w:line="360" w:lineRule="auto"/>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加油站站长电话：看附件5</w:t>
      </w:r>
    </w:p>
    <w:p>
      <w:pPr>
        <w:widowControl/>
        <w:spacing w:line="360" w:lineRule="auto"/>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安全员、应急小组电话：看附件5</w:t>
      </w:r>
    </w:p>
    <w:p>
      <w:pPr>
        <w:keepNext/>
        <w:keepLines/>
        <w:spacing w:afterLines="50" w:line="500" w:lineRule="exact"/>
        <w:jc w:val="left"/>
        <w:outlineLvl w:val="2"/>
        <w:rPr>
          <w:rFonts w:ascii="Times New Roman" w:hAnsi="Times New Roman" w:cs="Times New Roman"/>
          <w:b/>
          <w:color w:val="000000" w:themeColor="text1"/>
          <w:sz w:val="24"/>
          <w:szCs w:val="24"/>
        </w:rPr>
      </w:pPr>
      <w:bookmarkStart w:id="580" w:name="_Toc23788"/>
      <w:bookmarkStart w:id="581" w:name="_Toc22024"/>
      <w:bookmarkStart w:id="582" w:name="_Toc7301_WPSOffice_Level3"/>
      <w:bookmarkStart w:id="583" w:name="_Toc8076_WPSOffice_Level3"/>
      <w:bookmarkStart w:id="584" w:name="_Toc6831_WPSOffice_Level3"/>
      <w:bookmarkStart w:id="585" w:name="_Toc14964_WPSOffice_Level3"/>
      <w:bookmarkStart w:id="586" w:name="_Toc7595_WPSOffice_Level3"/>
      <w:r>
        <w:rPr>
          <w:rFonts w:ascii="Times New Roman" w:hAnsi="Times New Roman" w:cs="Times New Roman"/>
          <w:b/>
          <w:color w:val="000000" w:themeColor="text1"/>
          <w:sz w:val="24"/>
          <w:szCs w:val="24"/>
        </w:rPr>
        <w:t>5.5.3 外部通讯方式</w:t>
      </w:r>
      <w:bookmarkEnd w:id="580"/>
      <w:bookmarkEnd w:id="581"/>
      <w:bookmarkEnd w:id="582"/>
      <w:bookmarkEnd w:id="583"/>
      <w:bookmarkEnd w:id="584"/>
      <w:bookmarkEnd w:id="585"/>
      <w:bookmarkEnd w:id="586"/>
    </w:p>
    <w:p>
      <w:pPr>
        <w:widowControl/>
        <w:spacing w:line="360" w:lineRule="auto"/>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当发生突发环境事件超出公司应急救援力量，需要外界支援时，在公司加油站应急办公室的统一安排下向南昌</w:t>
      </w:r>
      <w:r>
        <w:rPr>
          <w:rFonts w:hint="eastAsia" w:ascii="Times New Roman" w:hAnsi="Times New Roman" w:cs="Times New Roman"/>
          <w:color w:val="000000" w:themeColor="text1"/>
          <w:kern w:val="0"/>
          <w:sz w:val="24"/>
          <w:szCs w:val="24"/>
          <w:lang w:val="en-US" w:eastAsia="zh-CN"/>
        </w:rPr>
        <w:t>市</w:t>
      </w:r>
      <w:r>
        <w:rPr>
          <w:rFonts w:ascii="Times New Roman" w:hAnsi="Times New Roman" w:cs="Times New Roman"/>
          <w:color w:val="000000" w:themeColor="text1"/>
          <w:kern w:val="0"/>
          <w:sz w:val="24"/>
          <w:szCs w:val="24"/>
        </w:rPr>
        <w:t>环保局</w:t>
      </w:r>
      <w:r>
        <w:rPr>
          <w:rFonts w:ascii="Times New Roman" w:hAnsi="Times New Roman" w:cs="Times New Roman"/>
          <w:color w:val="000000" w:themeColor="text1"/>
          <w:kern w:val="0"/>
          <w:sz w:val="24"/>
          <w:szCs w:val="24"/>
          <w:lang w:val="zh-CN"/>
        </w:rPr>
        <w:t>、南昌</w:t>
      </w:r>
      <w:r>
        <w:rPr>
          <w:rFonts w:hint="eastAsia" w:ascii="Times New Roman" w:hAnsi="Times New Roman" w:cs="Times New Roman"/>
          <w:color w:val="000000" w:themeColor="text1"/>
          <w:kern w:val="0"/>
          <w:sz w:val="24"/>
          <w:szCs w:val="24"/>
          <w:lang w:val="en-US" w:eastAsia="zh-CN"/>
        </w:rPr>
        <w:t>市</w:t>
      </w:r>
      <w:r>
        <w:rPr>
          <w:rFonts w:ascii="Times New Roman" w:hAnsi="Times New Roman" w:cs="Times New Roman"/>
          <w:color w:val="000000" w:themeColor="text1"/>
          <w:kern w:val="0"/>
          <w:sz w:val="24"/>
          <w:szCs w:val="24"/>
        </w:rPr>
        <w:t>安监局</w:t>
      </w:r>
      <w:r>
        <w:rPr>
          <w:rFonts w:ascii="Times New Roman" w:hAnsi="Times New Roman" w:cs="Times New Roman"/>
          <w:color w:val="000000" w:themeColor="text1"/>
          <w:kern w:val="0"/>
          <w:sz w:val="24"/>
          <w:szCs w:val="24"/>
          <w:lang w:val="zh-CN"/>
        </w:rPr>
        <w:t>等相关单位求救，请求外界支援。</w:t>
      </w:r>
    </w:p>
    <w:tbl>
      <w:tblPr>
        <w:tblStyle w:val="14"/>
        <w:tblpPr w:leftFromText="180" w:rightFromText="180" w:vertAnchor="text" w:horzAnchor="page" w:tblpX="1087" w:tblpY="311"/>
        <w:tblOverlap w:val="never"/>
        <w:tblW w:w="9831" w:type="dxa"/>
        <w:tblInd w:w="0" w:type="dxa"/>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Layout w:type="fixed"/>
        <w:tblCellMar>
          <w:top w:w="0" w:type="dxa"/>
          <w:left w:w="0" w:type="dxa"/>
          <w:bottom w:w="0" w:type="dxa"/>
          <w:right w:w="0" w:type="dxa"/>
        </w:tblCellMar>
      </w:tblPr>
      <w:tblGrid>
        <w:gridCol w:w="742"/>
        <w:gridCol w:w="4020"/>
        <w:gridCol w:w="1057"/>
        <w:gridCol w:w="2289"/>
        <w:gridCol w:w="1723"/>
      </w:tblGrid>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70" w:hRule="atLeast"/>
        </w:trPr>
        <w:tc>
          <w:tcPr>
            <w:tcW w:w="742" w:type="dxa"/>
            <w:tcBorders>
              <w:tl2br w:val="nil"/>
              <w:tr2bl w:val="nil"/>
            </w:tcBorders>
            <w:vAlign w:val="center"/>
          </w:tcPr>
          <w:p>
            <w:pPr>
              <w:ind w:firstLineChars="0"/>
              <w:jc w:val="center"/>
              <w:rPr>
                <w:rStyle w:val="36"/>
                <w:rFonts w:hint="eastAsia" w:asciiTheme="minorEastAsia" w:hAnsiTheme="minorEastAsia" w:eastAsiaTheme="minorEastAsia" w:cstheme="minorEastAsia"/>
                <w:b/>
                <w:bCs/>
                <w:color w:val="auto"/>
                <w:kern w:val="0"/>
                <w:sz w:val="21"/>
                <w:szCs w:val="21"/>
              </w:rPr>
            </w:pPr>
            <w:r>
              <w:rPr>
                <w:rStyle w:val="36"/>
                <w:rFonts w:hint="eastAsia" w:asciiTheme="minorEastAsia" w:hAnsiTheme="minorEastAsia" w:eastAsiaTheme="minorEastAsia" w:cstheme="minorEastAsia"/>
                <w:b/>
                <w:bCs/>
                <w:color w:val="auto"/>
                <w:kern w:val="0"/>
                <w:sz w:val="21"/>
                <w:szCs w:val="21"/>
              </w:rPr>
              <w:t>序号</w:t>
            </w:r>
          </w:p>
        </w:tc>
        <w:tc>
          <w:tcPr>
            <w:tcW w:w="4020" w:type="dxa"/>
            <w:tcBorders>
              <w:tl2br w:val="nil"/>
              <w:tr2bl w:val="nil"/>
            </w:tcBorders>
            <w:vAlign w:val="center"/>
          </w:tcPr>
          <w:p>
            <w:pPr>
              <w:ind w:firstLineChars="0"/>
              <w:jc w:val="center"/>
              <w:rPr>
                <w:rStyle w:val="36"/>
                <w:rFonts w:hint="eastAsia" w:asciiTheme="minorEastAsia" w:hAnsiTheme="minorEastAsia" w:eastAsiaTheme="minorEastAsia" w:cstheme="minorEastAsia"/>
                <w:b/>
                <w:bCs/>
                <w:color w:val="auto"/>
                <w:kern w:val="0"/>
                <w:sz w:val="21"/>
                <w:szCs w:val="21"/>
              </w:rPr>
            </w:pPr>
            <w:r>
              <w:rPr>
                <w:rStyle w:val="36"/>
                <w:rFonts w:hint="eastAsia" w:asciiTheme="minorEastAsia" w:hAnsiTheme="minorEastAsia" w:eastAsiaTheme="minorEastAsia" w:cstheme="minorEastAsia"/>
                <w:b/>
                <w:bCs/>
                <w:color w:val="auto"/>
                <w:kern w:val="0"/>
                <w:sz w:val="21"/>
                <w:szCs w:val="21"/>
              </w:rPr>
              <w:t>部门/职务</w:t>
            </w:r>
          </w:p>
        </w:tc>
        <w:tc>
          <w:tcPr>
            <w:tcW w:w="1057" w:type="dxa"/>
            <w:tcBorders>
              <w:tl2br w:val="nil"/>
              <w:tr2bl w:val="nil"/>
            </w:tcBorders>
            <w:vAlign w:val="center"/>
          </w:tcPr>
          <w:p>
            <w:pPr>
              <w:ind w:firstLineChars="0"/>
              <w:jc w:val="center"/>
              <w:rPr>
                <w:rStyle w:val="36"/>
                <w:rFonts w:hint="eastAsia" w:asciiTheme="minorEastAsia" w:hAnsiTheme="minorEastAsia" w:eastAsiaTheme="minorEastAsia" w:cstheme="minorEastAsia"/>
                <w:b/>
                <w:bCs/>
                <w:color w:val="auto"/>
                <w:kern w:val="0"/>
                <w:sz w:val="21"/>
                <w:szCs w:val="21"/>
              </w:rPr>
            </w:pPr>
            <w:r>
              <w:rPr>
                <w:rStyle w:val="36"/>
                <w:rFonts w:hint="eastAsia" w:asciiTheme="minorEastAsia" w:hAnsiTheme="minorEastAsia" w:eastAsiaTheme="minorEastAsia" w:cstheme="minorEastAsia"/>
                <w:b/>
                <w:bCs/>
                <w:color w:val="auto"/>
                <w:kern w:val="0"/>
                <w:sz w:val="21"/>
                <w:szCs w:val="21"/>
              </w:rPr>
              <w:t>联系人</w:t>
            </w:r>
          </w:p>
        </w:tc>
        <w:tc>
          <w:tcPr>
            <w:tcW w:w="2289" w:type="dxa"/>
            <w:tcBorders>
              <w:tl2br w:val="nil"/>
              <w:tr2bl w:val="nil"/>
            </w:tcBorders>
            <w:vAlign w:val="center"/>
          </w:tcPr>
          <w:p>
            <w:pPr>
              <w:ind w:firstLineChars="0"/>
              <w:jc w:val="center"/>
              <w:rPr>
                <w:rStyle w:val="36"/>
                <w:rFonts w:hint="eastAsia" w:asciiTheme="minorEastAsia" w:hAnsiTheme="minorEastAsia" w:eastAsiaTheme="minorEastAsia" w:cstheme="minorEastAsia"/>
                <w:b/>
                <w:bCs/>
                <w:color w:val="auto"/>
                <w:kern w:val="0"/>
                <w:sz w:val="21"/>
                <w:szCs w:val="21"/>
              </w:rPr>
            </w:pPr>
            <w:r>
              <w:rPr>
                <w:rStyle w:val="36"/>
                <w:rFonts w:hint="eastAsia" w:asciiTheme="minorEastAsia" w:hAnsiTheme="minorEastAsia" w:eastAsiaTheme="minorEastAsia" w:cstheme="minorEastAsia"/>
                <w:b/>
                <w:bCs/>
                <w:color w:val="auto"/>
                <w:kern w:val="0"/>
                <w:sz w:val="21"/>
                <w:szCs w:val="21"/>
              </w:rPr>
              <w:t>联系电话</w:t>
            </w:r>
          </w:p>
        </w:tc>
        <w:tc>
          <w:tcPr>
            <w:tcW w:w="1723" w:type="dxa"/>
            <w:tcBorders>
              <w:tl2br w:val="nil"/>
              <w:tr2bl w:val="nil"/>
            </w:tcBorders>
            <w:vAlign w:val="center"/>
          </w:tcPr>
          <w:p>
            <w:pPr>
              <w:ind w:firstLineChars="0"/>
              <w:jc w:val="center"/>
              <w:rPr>
                <w:rStyle w:val="36"/>
                <w:rFonts w:hint="eastAsia" w:asciiTheme="minorEastAsia" w:hAnsiTheme="minorEastAsia" w:eastAsiaTheme="minorEastAsia" w:cstheme="minorEastAsia"/>
                <w:b/>
                <w:bCs/>
                <w:color w:val="auto"/>
                <w:kern w:val="0"/>
                <w:sz w:val="21"/>
                <w:szCs w:val="21"/>
              </w:rPr>
            </w:pPr>
            <w:r>
              <w:rPr>
                <w:rStyle w:val="36"/>
                <w:rFonts w:hint="eastAsia" w:asciiTheme="minorEastAsia" w:hAnsiTheme="minorEastAsia" w:eastAsiaTheme="minorEastAsia" w:cstheme="minorEastAsia"/>
                <w:b/>
                <w:bCs/>
                <w:color w:val="auto"/>
                <w:kern w:val="0"/>
                <w:sz w:val="21"/>
                <w:szCs w:val="21"/>
              </w:rPr>
              <w:t>备注</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trPr>
        <w:tc>
          <w:tcPr>
            <w:tcW w:w="742"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eastAsiaTheme="minorEastAsia" w:cstheme="minorEastAsia"/>
                <w:color w:val="auto"/>
                <w:kern w:val="0"/>
                <w:sz w:val="21"/>
                <w:szCs w:val="21"/>
              </w:rPr>
              <w:t>1</w:t>
            </w:r>
          </w:p>
        </w:tc>
        <w:tc>
          <w:tcPr>
            <w:tcW w:w="4020"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南昌市（县）安全生产应急指挥中心</w:t>
            </w:r>
          </w:p>
        </w:tc>
        <w:tc>
          <w:tcPr>
            <w:tcW w:w="1057" w:type="dxa"/>
            <w:tcBorders>
              <w:tl2br w:val="nil"/>
              <w:tr2bl w:val="nil"/>
            </w:tcBorders>
            <w:vAlign w:val="center"/>
          </w:tcPr>
          <w:p>
            <w:pPr>
              <w:pStyle w:val="38"/>
              <w:spacing w:line="240" w:lineRule="auto"/>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金雯婷</w:t>
            </w:r>
          </w:p>
        </w:tc>
        <w:tc>
          <w:tcPr>
            <w:tcW w:w="2289"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87830820</w:t>
            </w:r>
          </w:p>
        </w:tc>
        <w:tc>
          <w:tcPr>
            <w:tcW w:w="172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trPr>
        <w:tc>
          <w:tcPr>
            <w:tcW w:w="742"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eastAsiaTheme="minorEastAsia" w:cstheme="minorEastAsia"/>
                <w:color w:val="auto"/>
                <w:kern w:val="0"/>
                <w:sz w:val="21"/>
                <w:szCs w:val="21"/>
              </w:rPr>
              <w:t>2</w:t>
            </w:r>
          </w:p>
        </w:tc>
        <w:tc>
          <w:tcPr>
            <w:tcW w:w="4020"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南昌市（县）应急救援中心</w:t>
            </w:r>
          </w:p>
        </w:tc>
        <w:tc>
          <w:tcPr>
            <w:tcW w:w="1057"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戴晓望</w:t>
            </w:r>
          </w:p>
        </w:tc>
        <w:tc>
          <w:tcPr>
            <w:tcW w:w="2289"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83986153</w:t>
            </w:r>
          </w:p>
        </w:tc>
        <w:tc>
          <w:tcPr>
            <w:tcW w:w="172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trPr>
        <w:tc>
          <w:tcPr>
            <w:tcW w:w="742"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eastAsiaTheme="minorEastAsia" w:cstheme="minorEastAsia"/>
                <w:color w:val="auto"/>
                <w:kern w:val="0"/>
                <w:sz w:val="21"/>
                <w:szCs w:val="21"/>
              </w:rPr>
              <w:t>3</w:t>
            </w:r>
          </w:p>
        </w:tc>
        <w:tc>
          <w:tcPr>
            <w:tcW w:w="4020"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南昌市（县）安监局副局长</w:t>
            </w:r>
          </w:p>
        </w:tc>
        <w:tc>
          <w:tcPr>
            <w:tcW w:w="1057"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万平</w:t>
            </w:r>
          </w:p>
        </w:tc>
        <w:tc>
          <w:tcPr>
            <w:tcW w:w="2289"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13507093311</w:t>
            </w:r>
          </w:p>
        </w:tc>
        <w:tc>
          <w:tcPr>
            <w:tcW w:w="172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trPr>
        <w:tc>
          <w:tcPr>
            <w:tcW w:w="742"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eastAsiaTheme="minorEastAsia" w:cstheme="minorEastAsia"/>
                <w:color w:val="auto"/>
                <w:kern w:val="0"/>
                <w:sz w:val="21"/>
                <w:szCs w:val="21"/>
              </w:rPr>
              <w:t>4</w:t>
            </w:r>
          </w:p>
        </w:tc>
        <w:tc>
          <w:tcPr>
            <w:tcW w:w="4020"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南昌市（县）职业健康副局长</w:t>
            </w:r>
          </w:p>
        </w:tc>
        <w:tc>
          <w:tcPr>
            <w:tcW w:w="1057"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卢瑾萍</w:t>
            </w:r>
          </w:p>
        </w:tc>
        <w:tc>
          <w:tcPr>
            <w:tcW w:w="2289"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18079133835</w:t>
            </w:r>
          </w:p>
        </w:tc>
        <w:tc>
          <w:tcPr>
            <w:tcW w:w="172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trPr>
        <w:tc>
          <w:tcPr>
            <w:tcW w:w="742"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eastAsiaTheme="minorEastAsia" w:cstheme="minorEastAsia"/>
                <w:color w:val="auto"/>
                <w:kern w:val="0"/>
                <w:sz w:val="21"/>
                <w:szCs w:val="21"/>
              </w:rPr>
              <w:t>5</w:t>
            </w:r>
          </w:p>
        </w:tc>
        <w:tc>
          <w:tcPr>
            <w:tcW w:w="4020"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南昌市（县）安监局办公室</w:t>
            </w:r>
          </w:p>
        </w:tc>
        <w:tc>
          <w:tcPr>
            <w:tcW w:w="1057"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c>
          <w:tcPr>
            <w:tcW w:w="2289"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13732935436/83986158</w:t>
            </w:r>
          </w:p>
        </w:tc>
        <w:tc>
          <w:tcPr>
            <w:tcW w:w="172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trPr>
        <w:tc>
          <w:tcPr>
            <w:tcW w:w="742"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eastAsiaTheme="minorEastAsia" w:cstheme="minorEastAsia"/>
                <w:color w:val="auto"/>
                <w:kern w:val="0"/>
                <w:sz w:val="21"/>
                <w:szCs w:val="21"/>
              </w:rPr>
              <w:t>6</w:t>
            </w:r>
          </w:p>
        </w:tc>
        <w:tc>
          <w:tcPr>
            <w:tcW w:w="4020"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南昌市（县）安监局执法大队长</w:t>
            </w:r>
          </w:p>
        </w:tc>
        <w:tc>
          <w:tcPr>
            <w:tcW w:w="1057"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c>
          <w:tcPr>
            <w:tcW w:w="2289"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83839641</w:t>
            </w:r>
          </w:p>
        </w:tc>
        <w:tc>
          <w:tcPr>
            <w:tcW w:w="172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90" w:hRule="atLeast"/>
        </w:trPr>
        <w:tc>
          <w:tcPr>
            <w:tcW w:w="742"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eastAsiaTheme="minorEastAsia" w:cstheme="minorEastAsia"/>
                <w:color w:val="auto"/>
                <w:kern w:val="0"/>
                <w:sz w:val="21"/>
                <w:szCs w:val="21"/>
              </w:rPr>
              <w:t>7</w:t>
            </w:r>
          </w:p>
        </w:tc>
        <w:tc>
          <w:tcPr>
            <w:tcW w:w="4020" w:type="dxa"/>
            <w:tcBorders>
              <w:tl2br w:val="nil"/>
              <w:tr2bl w:val="nil"/>
            </w:tcBorders>
            <w:vAlign w:val="bottom"/>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南昌市（县）消防大队大队长</w:t>
            </w:r>
          </w:p>
        </w:tc>
        <w:tc>
          <w:tcPr>
            <w:tcW w:w="1057" w:type="dxa"/>
            <w:tcBorders>
              <w:tl2br w:val="nil"/>
              <w:tr2bl w:val="nil"/>
            </w:tcBorders>
            <w:vAlign w:val="bottom"/>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陈峰</w:t>
            </w:r>
          </w:p>
        </w:tc>
        <w:tc>
          <w:tcPr>
            <w:tcW w:w="2289" w:type="dxa"/>
            <w:tcBorders>
              <w:tl2br w:val="nil"/>
              <w:tr2bl w:val="nil"/>
            </w:tcBorders>
            <w:vAlign w:val="bottom"/>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18970016631</w:t>
            </w:r>
          </w:p>
        </w:tc>
        <w:tc>
          <w:tcPr>
            <w:tcW w:w="172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90" w:hRule="atLeast"/>
        </w:trPr>
        <w:tc>
          <w:tcPr>
            <w:tcW w:w="742" w:type="dxa"/>
            <w:tcBorders>
              <w:tl2br w:val="nil"/>
              <w:tr2bl w:val="nil"/>
            </w:tcBorders>
            <w:vAlign w:val="center"/>
          </w:tcPr>
          <w:p>
            <w:pPr>
              <w:ind w:firstLine="0"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cstheme="minorEastAsia"/>
                <w:color w:val="FF0000"/>
                <w:kern w:val="0"/>
                <w:sz w:val="21"/>
                <w:szCs w:val="21"/>
                <w:lang w:val="en-US" w:eastAsia="zh-CN"/>
              </w:rPr>
              <w:t>8</w:t>
            </w:r>
          </w:p>
        </w:tc>
        <w:tc>
          <w:tcPr>
            <w:tcW w:w="4020" w:type="dxa"/>
            <w:tcBorders>
              <w:tl2br w:val="nil"/>
              <w:tr2bl w:val="nil"/>
            </w:tcBorders>
            <w:vAlign w:val="bottom"/>
          </w:tcPr>
          <w:p>
            <w:pPr>
              <w:ind w:firstLine="0"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cstheme="minorEastAsia"/>
                <w:color w:val="FF0000"/>
                <w:sz w:val="21"/>
                <w:szCs w:val="21"/>
                <w:lang w:val="en-US" w:eastAsia="zh-CN"/>
              </w:rPr>
              <w:t>南昌市新建区人民政府办公室</w:t>
            </w:r>
          </w:p>
        </w:tc>
        <w:tc>
          <w:tcPr>
            <w:tcW w:w="1057" w:type="dxa"/>
            <w:tcBorders>
              <w:tl2br w:val="nil"/>
              <w:tr2bl w:val="nil"/>
            </w:tcBorders>
            <w:vAlign w:val="bottom"/>
          </w:tcPr>
          <w:p>
            <w:pPr>
              <w:ind w:firstLine="0"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cstheme="minorEastAsia"/>
                <w:color w:val="FF0000"/>
                <w:sz w:val="21"/>
                <w:szCs w:val="21"/>
                <w:lang w:val="en-US" w:eastAsia="zh-CN"/>
              </w:rPr>
              <w:t>/</w:t>
            </w:r>
          </w:p>
        </w:tc>
        <w:tc>
          <w:tcPr>
            <w:tcW w:w="2289" w:type="dxa"/>
            <w:tcBorders>
              <w:tl2br w:val="nil"/>
              <w:tr2bl w:val="nil"/>
            </w:tcBorders>
            <w:vAlign w:val="bottom"/>
          </w:tcPr>
          <w:p>
            <w:pPr>
              <w:ind w:firstLine="0" w:firstLineChars="0"/>
              <w:jc w:val="center"/>
              <w:rPr>
                <w:rStyle w:val="36"/>
                <w:rFonts w:hint="default" w:ascii="Times New Roman" w:hAnsi="Times New Roman" w:cs="Times New Roman" w:eastAsiaTheme="minorEastAsia"/>
                <w:color w:val="auto"/>
                <w:sz w:val="21"/>
                <w:szCs w:val="21"/>
              </w:rPr>
            </w:pPr>
            <w:r>
              <w:rPr>
                <w:rFonts w:ascii="Arial" w:hAnsi="Arial" w:eastAsia="宋体" w:cs="Arial"/>
                <w:i w:val="0"/>
                <w:caps w:val="0"/>
                <w:color w:val="FF0000"/>
                <w:spacing w:val="0"/>
                <w:sz w:val="15"/>
                <w:szCs w:val="15"/>
                <w:shd w:val="clear" w:fill="FFFFFF"/>
              </w:rPr>
              <w:t>:</w:t>
            </w:r>
            <w:r>
              <w:rPr>
                <w:rStyle w:val="36"/>
                <w:rFonts w:hint="default" w:ascii="Times New Roman" w:hAnsi="Times New Roman" w:cs="Times New Roman" w:eastAsiaTheme="minorEastAsia"/>
                <w:color w:val="FF0000"/>
                <w:sz w:val="21"/>
                <w:szCs w:val="21"/>
              </w:rPr>
              <w:t>0791-83702579</w:t>
            </w:r>
          </w:p>
        </w:tc>
        <w:tc>
          <w:tcPr>
            <w:tcW w:w="1723" w:type="dxa"/>
            <w:tcBorders>
              <w:tl2br w:val="nil"/>
              <w:tr2bl w:val="nil"/>
            </w:tcBorders>
            <w:vAlign w:val="center"/>
          </w:tcPr>
          <w:p>
            <w:pPr>
              <w:ind w:firstLine="0"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trPr>
        <w:tc>
          <w:tcPr>
            <w:tcW w:w="742" w:type="dxa"/>
            <w:tcBorders>
              <w:tl2br w:val="nil"/>
              <w:tr2bl w:val="nil"/>
            </w:tcBorders>
            <w:vAlign w:val="center"/>
          </w:tcPr>
          <w:p>
            <w:pPr>
              <w:ind w:firstLineChars="0"/>
              <w:jc w:val="center"/>
              <w:rPr>
                <w:rStyle w:val="36"/>
                <w:rFonts w:hint="default" w:asciiTheme="minorEastAsia" w:hAnsiTheme="minorEastAsia" w:eastAsiaTheme="minorEastAsia" w:cstheme="minorEastAsia"/>
                <w:color w:val="auto"/>
                <w:kern w:val="0"/>
                <w:sz w:val="21"/>
                <w:szCs w:val="21"/>
                <w:lang w:val="en-US" w:eastAsia="zh-CN"/>
              </w:rPr>
            </w:pPr>
            <w:r>
              <w:rPr>
                <w:rStyle w:val="36"/>
                <w:rFonts w:hint="eastAsia" w:asciiTheme="minorEastAsia" w:hAnsiTheme="minorEastAsia" w:cstheme="minorEastAsia"/>
                <w:color w:val="auto"/>
                <w:kern w:val="0"/>
                <w:sz w:val="21"/>
                <w:szCs w:val="21"/>
                <w:lang w:val="en-US" w:eastAsia="zh-CN"/>
              </w:rPr>
              <w:t>9</w:t>
            </w:r>
          </w:p>
        </w:tc>
        <w:tc>
          <w:tcPr>
            <w:tcW w:w="4020"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消防火灾报警电话</w:t>
            </w:r>
          </w:p>
        </w:tc>
        <w:tc>
          <w:tcPr>
            <w:tcW w:w="1057"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w:t>
            </w:r>
          </w:p>
        </w:tc>
        <w:tc>
          <w:tcPr>
            <w:tcW w:w="2289"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119</w:t>
            </w:r>
          </w:p>
        </w:tc>
        <w:tc>
          <w:tcPr>
            <w:tcW w:w="1723" w:type="dxa"/>
            <w:tcBorders>
              <w:tl2br w:val="nil"/>
              <w:tr2bl w:val="nil"/>
            </w:tcBorders>
            <w:vAlign w:val="bottom"/>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　</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trPr>
        <w:tc>
          <w:tcPr>
            <w:tcW w:w="742" w:type="dxa"/>
            <w:tcBorders>
              <w:tl2br w:val="nil"/>
              <w:tr2bl w:val="nil"/>
            </w:tcBorders>
            <w:vAlign w:val="center"/>
          </w:tcPr>
          <w:p>
            <w:pPr>
              <w:ind w:firstLineChars="0"/>
              <w:jc w:val="center"/>
              <w:rPr>
                <w:rStyle w:val="36"/>
                <w:rFonts w:hint="default" w:asciiTheme="minorEastAsia" w:hAnsiTheme="minorEastAsia" w:eastAsiaTheme="minorEastAsia" w:cstheme="minorEastAsia"/>
                <w:color w:val="auto"/>
                <w:kern w:val="0"/>
                <w:sz w:val="21"/>
                <w:szCs w:val="21"/>
                <w:lang w:val="en-US" w:eastAsia="zh-CN"/>
              </w:rPr>
            </w:pPr>
            <w:r>
              <w:rPr>
                <w:rStyle w:val="36"/>
                <w:rFonts w:hint="eastAsia" w:asciiTheme="minorEastAsia" w:hAnsiTheme="minorEastAsia" w:cstheme="minorEastAsia"/>
                <w:color w:val="auto"/>
                <w:kern w:val="0"/>
                <w:sz w:val="21"/>
                <w:szCs w:val="21"/>
                <w:lang w:val="en-US" w:eastAsia="zh-CN"/>
              </w:rPr>
              <w:t>10</w:t>
            </w:r>
          </w:p>
        </w:tc>
        <w:tc>
          <w:tcPr>
            <w:tcW w:w="4020"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医疗急救电话</w:t>
            </w:r>
          </w:p>
        </w:tc>
        <w:tc>
          <w:tcPr>
            <w:tcW w:w="1057"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w:t>
            </w:r>
          </w:p>
        </w:tc>
        <w:tc>
          <w:tcPr>
            <w:tcW w:w="2289"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120</w:t>
            </w:r>
          </w:p>
        </w:tc>
        <w:tc>
          <w:tcPr>
            <w:tcW w:w="172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　</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75" w:hRule="atLeast"/>
        </w:trPr>
        <w:tc>
          <w:tcPr>
            <w:tcW w:w="742" w:type="dxa"/>
            <w:tcBorders>
              <w:tl2br w:val="nil"/>
              <w:tr2bl w:val="nil"/>
            </w:tcBorders>
            <w:vAlign w:val="center"/>
          </w:tcPr>
          <w:p>
            <w:pPr>
              <w:ind w:firstLineChars="0"/>
              <w:jc w:val="center"/>
              <w:rPr>
                <w:rStyle w:val="36"/>
                <w:rFonts w:hint="default" w:asciiTheme="minorEastAsia" w:hAnsiTheme="minorEastAsia" w:eastAsiaTheme="minorEastAsia" w:cstheme="minorEastAsia"/>
                <w:color w:val="auto"/>
                <w:kern w:val="0"/>
                <w:sz w:val="21"/>
                <w:szCs w:val="21"/>
                <w:lang w:val="en-US" w:eastAsia="zh-CN"/>
              </w:rPr>
            </w:pPr>
            <w:r>
              <w:rPr>
                <w:rStyle w:val="36"/>
                <w:rFonts w:hint="eastAsia" w:asciiTheme="minorEastAsia" w:hAnsiTheme="minorEastAsia" w:cstheme="minorEastAsia"/>
                <w:color w:val="auto"/>
                <w:kern w:val="0"/>
                <w:sz w:val="21"/>
                <w:szCs w:val="21"/>
                <w:lang w:val="en-US" w:eastAsia="zh-CN"/>
              </w:rPr>
              <w:t>11</w:t>
            </w:r>
            <w:bookmarkStart w:id="1388" w:name="_GoBack"/>
            <w:bookmarkEnd w:id="1388"/>
          </w:p>
        </w:tc>
        <w:tc>
          <w:tcPr>
            <w:tcW w:w="4020"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公安报警电话</w:t>
            </w:r>
          </w:p>
        </w:tc>
        <w:tc>
          <w:tcPr>
            <w:tcW w:w="1057"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w:t>
            </w:r>
          </w:p>
        </w:tc>
        <w:tc>
          <w:tcPr>
            <w:tcW w:w="2289"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110</w:t>
            </w:r>
          </w:p>
        </w:tc>
        <w:tc>
          <w:tcPr>
            <w:tcW w:w="1723"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　</w:t>
            </w:r>
          </w:p>
        </w:tc>
      </w:tr>
    </w:tbl>
    <w:p>
      <w:pPr>
        <w:pStyle w:val="17"/>
        <w:rPr>
          <w:lang w:val="zh-CN"/>
        </w:rPr>
      </w:pPr>
    </w:p>
    <w:p>
      <w:pPr>
        <w:ind w:firstLine="361" w:firstLineChars="150"/>
        <w:jc w:val="left"/>
        <w:rPr>
          <w:rFonts w:ascii="Times New Roman" w:hAnsi="Times New Roman" w:cs="Times New Roman"/>
          <w:color w:val="000000" w:themeColor="text1"/>
          <w:kern w:val="0"/>
          <w:sz w:val="24"/>
          <w:szCs w:val="24"/>
          <w:lang w:val="zh-CN"/>
        </w:rPr>
      </w:pPr>
      <w:r>
        <w:rPr>
          <w:rFonts w:hint="eastAsia" w:ascii="Times New Roman" w:hAnsi="Times New Roman" w:eastAsia="宋体" w:cs="Times New Roman"/>
          <w:b/>
          <w:sz w:val="24"/>
          <w:szCs w:val="24"/>
        </w:rPr>
        <w:t>周边通讯方式</w:t>
      </w:r>
    </w:p>
    <w:p>
      <w:pPr>
        <w:spacing w:line="50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南昌</w:t>
      </w:r>
      <w:r>
        <w:rPr>
          <w:rFonts w:hint="eastAsia" w:ascii="Times New Roman" w:hAnsi="Times New Roman" w:eastAsia="宋体" w:cs="Times New Roman"/>
          <w:sz w:val="24"/>
          <w:szCs w:val="24"/>
          <w:lang w:val="en-US" w:eastAsia="zh-CN"/>
        </w:rPr>
        <w:t>市（</w:t>
      </w:r>
      <w:r>
        <w:rPr>
          <w:rFonts w:hint="eastAsia" w:ascii="Times New Roman" w:hAnsi="Times New Roman" w:eastAsia="宋体" w:cs="Times New Roman"/>
          <w:sz w:val="24"/>
          <w:szCs w:val="24"/>
        </w:rPr>
        <w:t>县</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rPr>
        <w:t>气象局：0</w:t>
      </w:r>
      <w:r>
        <w:rPr>
          <w:rFonts w:ascii="Times New Roman" w:hAnsi="Times New Roman" w:eastAsia="宋体" w:cs="Times New Roman"/>
          <w:sz w:val="24"/>
          <w:szCs w:val="24"/>
        </w:rPr>
        <w:t>791-85705251</w:t>
      </w:r>
    </w:p>
    <w:p>
      <w:pPr>
        <w:spacing w:line="50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南昌</w:t>
      </w:r>
      <w:r>
        <w:rPr>
          <w:rFonts w:hint="eastAsia" w:ascii="Times New Roman" w:hAnsi="Times New Roman" w:eastAsia="宋体" w:cs="Times New Roman"/>
          <w:sz w:val="24"/>
          <w:szCs w:val="24"/>
          <w:lang w:val="en-US" w:eastAsia="zh-CN"/>
        </w:rPr>
        <w:t>市（</w:t>
      </w:r>
      <w:r>
        <w:rPr>
          <w:rFonts w:hint="eastAsia" w:ascii="Times New Roman" w:hAnsi="Times New Roman" w:eastAsia="宋体" w:cs="Times New Roman"/>
          <w:sz w:val="24"/>
          <w:szCs w:val="24"/>
        </w:rPr>
        <w:t>县</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rPr>
        <w:t>农机局：0</w:t>
      </w:r>
      <w:r>
        <w:rPr>
          <w:rFonts w:ascii="Times New Roman" w:hAnsi="Times New Roman" w:eastAsia="宋体" w:cs="Times New Roman"/>
          <w:sz w:val="24"/>
          <w:szCs w:val="24"/>
        </w:rPr>
        <w:t>791-85712146</w:t>
      </w:r>
    </w:p>
    <w:p>
      <w:pPr>
        <w:spacing w:line="500" w:lineRule="exact"/>
        <w:ind w:firstLine="480" w:firstLineChars="200"/>
        <w:rPr>
          <w:rFonts w:ascii="Times New Roman" w:hAnsi="Times New Roman" w:eastAsiaTheme="minorEastAsia"/>
          <w:color w:val="000000" w:themeColor="text1"/>
          <w:spacing w:val="0"/>
          <w:kern w:val="0"/>
          <w:szCs w:val="24"/>
          <w:lang w:val="zh-CN"/>
        </w:rPr>
      </w:pPr>
      <w:r>
        <w:rPr>
          <w:rFonts w:hint="eastAsia" w:ascii="Times New Roman" w:hAnsi="Times New Roman" w:eastAsia="宋体" w:cs="Times New Roman"/>
          <w:sz w:val="24"/>
          <w:szCs w:val="24"/>
        </w:rPr>
        <w:t>南昌</w:t>
      </w:r>
      <w:r>
        <w:rPr>
          <w:rFonts w:hint="eastAsia" w:ascii="Times New Roman" w:hAnsi="Times New Roman" w:eastAsia="宋体" w:cs="Times New Roman"/>
          <w:sz w:val="24"/>
          <w:szCs w:val="24"/>
          <w:lang w:val="en-US" w:eastAsia="zh-CN"/>
        </w:rPr>
        <w:t>市（</w:t>
      </w:r>
      <w:r>
        <w:rPr>
          <w:rFonts w:hint="eastAsia" w:ascii="Times New Roman" w:hAnsi="Times New Roman" w:eastAsia="宋体" w:cs="Times New Roman"/>
          <w:sz w:val="24"/>
          <w:szCs w:val="24"/>
        </w:rPr>
        <w:t>县</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rPr>
        <w:t>人民法院：0</w:t>
      </w:r>
      <w:r>
        <w:rPr>
          <w:rFonts w:ascii="Times New Roman" w:hAnsi="Times New Roman" w:eastAsia="宋体" w:cs="Times New Roman"/>
          <w:sz w:val="24"/>
          <w:szCs w:val="24"/>
        </w:rPr>
        <w:t>791-85712702</w:t>
      </w:r>
    </w:p>
    <w:p>
      <w:pPr>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br w:type="page"/>
      </w:r>
    </w:p>
    <w:p>
      <w:pPr>
        <w:keepNext/>
        <w:keepLines/>
        <w:spacing w:beforeLines="100" w:afterLines="100" w:line="500" w:lineRule="exact"/>
        <w:jc w:val="center"/>
        <w:outlineLvl w:val="0"/>
        <w:rPr>
          <w:rFonts w:ascii="Times New Roman" w:hAnsi="Times New Roman" w:cs="Times New Roman"/>
          <w:b/>
          <w:bCs/>
          <w:color w:val="000000" w:themeColor="text1"/>
          <w:kern w:val="44"/>
          <w:sz w:val="30"/>
          <w:szCs w:val="30"/>
        </w:rPr>
      </w:pPr>
      <w:bookmarkStart w:id="587" w:name="_Toc22137"/>
      <w:bookmarkStart w:id="588" w:name="_Toc10055_WPSOffice_Level1"/>
      <w:bookmarkStart w:id="589" w:name="_Toc32390_WPSOffice_Level1"/>
      <w:bookmarkStart w:id="590" w:name="_Toc25774_WPSOffice_Level1"/>
      <w:bookmarkStart w:id="591" w:name="_Toc30698"/>
      <w:bookmarkStart w:id="592" w:name="_Toc16384"/>
      <w:bookmarkStart w:id="593" w:name="_Toc23590_WPSOffice_Level1"/>
      <w:bookmarkStart w:id="594" w:name="_Toc26023_WPSOffice_Level1"/>
      <w:bookmarkStart w:id="595" w:name="_Toc16693"/>
      <w:r>
        <w:rPr>
          <w:rFonts w:ascii="Times New Roman" w:hAnsi="Times New Roman" w:cs="Times New Roman"/>
          <w:b/>
          <w:bCs/>
          <w:color w:val="000000" w:themeColor="text1"/>
          <w:kern w:val="44"/>
          <w:sz w:val="30"/>
          <w:szCs w:val="30"/>
        </w:rPr>
        <w:t>6、信息报告与通报</w:t>
      </w:r>
      <w:bookmarkEnd w:id="587"/>
      <w:bookmarkEnd w:id="588"/>
      <w:bookmarkEnd w:id="589"/>
      <w:bookmarkEnd w:id="590"/>
      <w:bookmarkEnd w:id="591"/>
      <w:bookmarkEnd w:id="592"/>
      <w:bookmarkEnd w:id="593"/>
      <w:bookmarkEnd w:id="594"/>
      <w:bookmarkEnd w:id="595"/>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596" w:name="_Toc27634"/>
      <w:bookmarkStart w:id="597" w:name="_Toc4116_WPSOffice_Level2"/>
      <w:bookmarkStart w:id="598" w:name="_Toc10668"/>
      <w:bookmarkStart w:id="599" w:name="_Toc32390_WPSOffice_Level2"/>
      <w:bookmarkStart w:id="600" w:name="_Toc32611_WPSOffice_Level2"/>
      <w:bookmarkStart w:id="601" w:name="_Toc29421_WPSOffice_Level2"/>
      <w:bookmarkStart w:id="602" w:name="_Toc3301"/>
      <w:bookmarkStart w:id="603" w:name="_Toc2415"/>
      <w:bookmarkStart w:id="604" w:name="_Toc25432_WPSOffice_Level2"/>
      <w:bookmarkStart w:id="605" w:name="_Toc20647"/>
      <w:r>
        <w:rPr>
          <w:rFonts w:ascii="Times New Roman" w:hAnsi="Times New Roman" w:cs="Times New Roman"/>
          <w:b/>
          <w:bCs/>
          <w:color w:val="000000" w:themeColor="text1"/>
          <w:sz w:val="24"/>
          <w:szCs w:val="24"/>
        </w:rPr>
        <w:t>6.1信息报告</w:t>
      </w:r>
      <w:bookmarkEnd w:id="596"/>
      <w:bookmarkEnd w:id="597"/>
      <w:bookmarkEnd w:id="598"/>
      <w:bookmarkEnd w:id="599"/>
      <w:bookmarkEnd w:id="600"/>
      <w:bookmarkEnd w:id="601"/>
      <w:bookmarkEnd w:id="602"/>
      <w:bookmarkEnd w:id="603"/>
      <w:bookmarkEnd w:id="604"/>
      <w:bookmarkEnd w:id="605"/>
    </w:p>
    <w:p>
      <w:pPr>
        <w:keepNext/>
        <w:keepLines/>
        <w:spacing w:before="240" w:after="240" w:line="500" w:lineRule="exact"/>
        <w:jc w:val="left"/>
        <w:outlineLvl w:val="2"/>
        <w:rPr>
          <w:rFonts w:ascii="Times New Roman" w:hAnsi="Times New Roman" w:cs="Times New Roman"/>
          <w:b/>
          <w:color w:val="000000" w:themeColor="text1"/>
          <w:sz w:val="24"/>
          <w:szCs w:val="24"/>
        </w:rPr>
      </w:pPr>
      <w:bookmarkStart w:id="606" w:name="_Toc11584"/>
      <w:bookmarkStart w:id="607" w:name="_Toc30549_WPSOffice_Level3"/>
      <w:bookmarkStart w:id="608" w:name="_Toc32479"/>
      <w:bookmarkStart w:id="609" w:name="_Toc10182_WPSOffice_Level3"/>
      <w:bookmarkStart w:id="610" w:name="_Toc9425"/>
      <w:bookmarkStart w:id="611" w:name="_Toc32390_WPSOffice_Level3"/>
      <w:bookmarkStart w:id="612" w:name="_Toc21921_WPSOffice_Level3"/>
      <w:bookmarkStart w:id="613" w:name="_Toc18827"/>
      <w:bookmarkStart w:id="614" w:name="_Toc17886_WPSOffice_Level3"/>
      <w:r>
        <w:rPr>
          <w:rFonts w:ascii="Times New Roman" w:hAnsi="Times New Roman" w:cs="Times New Roman"/>
          <w:b/>
          <w:color w:val="000000" w:themeColor="text1"/>
          <w:sz w:val="24"/>
          <w:szCs w:val="24"/>
        </w:rPr>
        <w:t>6.1.1信息报告程序</w:t>
      </w:r>
      <w:bookmarkEnd w:id="606"/>
      <w:bookmarkEnd w:id="607"/>
      <w:bookmarkEnd w:id="608"/>
      <w:bookmarkEnd w:id="609"/>
      <w:bookmarkEnd w:id="610"/>
      <w:bookmarkEnd w:id="611"/>
      <w:bookmarkEnd w:id="612"/>
      <w:bookmarkEnd w:id="613"/>
      <w:bookmarkEnd w:id="614"/>
    </w:p>
    <w:p>
      <w:pPr>
        <w:spacing w:line="500" w:lineRule="exact"/>
        <w:ind w:firstLine="480" w:firstLineChars="200"/>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现场操作人员或现场环保安全检查时如发现危险源出现异常情况，有可能导致事故发生，应立即以口头大声呼叫或拨打电话的方式向加油站负责人或公司应急领导小组办公室通报。应急领导小组办公室设立24小时应急值守电话：</w:t>
      </w:r>
      <w:r>
        <w:rPr>
          <w:rFonts w:hint="default" w:ascii="Times New Roman" w:hAnsi="Times New Roman" w:cs="Times New Roman"/>
          <w:color w:val="auto"/>
          <w:sz w:val="24"/>
          <w:szCs w:val="24"/>
          <w:lang w:val="en-US" w:eastAsia="zh-CN"/>
        </w:rPr>
        <w:t>15979192143</w:t>
      </w: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一旦环境事故发生，值守人员应做记录后，立即报告应急领导小组办公室主管领导。</w:t>
      </w:r>
    </w:p>
    <w:p>
      <w:pPr>
        <w:spacing w:line="500" w:lineRule="exact"/>
        <w:ind w:firstLine="480" w:firstLineChars="200"/>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应急救援办公室对可能酿成环境污染事故的，应立即报告加油站应急指挥部，总指挥及时召集指挥部全体成员研究事件发展的可能程度及应对行动，并通知有关部门、各应急救援小组采取应急行动。</w:t>
      </w:r>
    </w:p>
    <w:p>
      <w:pPr>
        <w:spacing w:line="500" w:lineRule="exact"/>
        <w:ind w:firstLine="480" w:firstLineChars="200"/>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应急指挥部接到可能导致环境事故的信息后，应按照分级响应的原则及时研究确定应对方案，并通知有关部门、现场人员采取有效措施预防事故发生。</w:t>
      </w:r>
    </w:p>
    <w:p>
      <w:pPr>
        <w:spacing w:line="500" w:lineRule="exact"/>
        <w:ind w:firstLine="480" w:firstLineChars="200"/>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当应急指挥部认为事故较大，有可能超出本级应急处置能力时，应当在</w:t>
      </w:r>
      <w:r>
        <w:rPr>
          <w:rFonts w:ascii="Times New Roman" w:hAnsi="Times New Roman" w:cs="Times New Roman"/>
          <w:color w:val="000000" w:themeColor="text1"/>
          <w:kern w:val="0"/>
          <w:sz w:val="24"/>
          <w:szCs w:val="24"/>
          <w:u w:val="single"/>
        </w:rPr>
        <w:t>1小时内</w:t>
      </w:r>
      <w:r>
        <w:rPr>
          <w:rFonts w:ascii="Times New Roman" w:hAnsi="Times New Roman" w:cs="Times New Roman"/>
          <w:color w:val="000000" w:themeColor="text1"/>
          <w:kern w:val="0"/>
          <w:sz w:val="24"/>
          <w:szCs w:val="24"/>
        </w:rPr>
        <w:t>及时向南昌</w:t>
      </w:r>
      <w:r>
        <w:rPr>
          <w:rFonts w:hint="eastAsia" w:ascii="Times New Roman" w:hAnsi="Times New Roman" w:cs="Times New Roman"/>
          <w:color w:val="000000" w:themeColor="text1"/>
          <w:kern w:val="0"/>
          <w:sz w:val="24"/>
          <w:szCs w:val="24"/>
          <w:lang w:val="en-US" w:eastAsia="zh-CN"/>
        </w:rPr>
        <w:t>市</w:t>
      </w:r>
      <w:r>
        <w:rPr>
          <w:rFonts w:ascii="Times New Roman" w:hAnsi="Times New Roman" w:cs="Times New Roman"/>
          <w:color w:val="000000" w:themeColor="text1"/>
          <w:kern w:val="0"/>
          <w:sz w:val="24"/>
          <w:szCs w:val="24"/>
        </w:rPr>
        <w:t>环保局报告，及时研究应对方案，采取行动。</w:t>
      </w:r>
    </w:p>
    <w:p>
      <w:pPr>
        <w:keepNext/>
        <w:keepLines/>
        <w:spacing w:before="240" w:after="240" w:line="500" w:lineRule="exact"/>
        <w:jc w:val="left"/>
        <w:outlineLvl w:val="2"/>
        <w:rPr>
          <w:rFonts w:ascii="Times New Roman" w:hAnsi="Times New Roman" w:cs="Times New Roman"/>
          <w:b/>
          <w:color w:val="000000" w:themeColor="text1"/>
          <w:sz w:val="24"/>
          <w:szCs w:val="24"/>
        </w:rPr>
      </w:pPr>
      <w:bookmarkStart w:id="615" w:name="_Toc14482_WPSOffice_Level3"/>
      <w:bookmarkStart w:id="616" w:name="_Toc15016"/>
      <w:bookmarkStart w:id="617" w:name="_Toc10370_WPSOffice_Level3"/>
      <w:bookmarkStart w:id="618" w:name="_Toc21623_WPSOffice_Level3"/>
      <w:bookmarkStart w:id="619" w:name="_Toc29635"/>
      <w:bookmarkStart w:id="620" w:name="_Toc25204_WPSOffice_Level3"/>
      <w:bookmarkStart w:id="621" w:name="_Toc26484_WPSOffice_Level3"/>
      <w:bookmarkStart w:id="622" w:name="_Toc17839"/>
      <w:bookmarkStart w:id="623" w:name="_Toc23885"/>
      <w:r>
        <w:rPr>
          <w:rFonts w:ascii="Times New Roman" w:hAnsi="Times New Roman" w:cs="Times New Roman"/>
          <w:b/>
          <w:color w:val="000000" w:themeColor="text1"/>
          <w:sz w:val="24"/>
          <w:szCs w:val="24"/>
        </w:rPr>
        <w:t>6.1.2事故报告内容</w:t>
      </w:r>
      <w:bookmarkEnd w:id="615"/>
      <w:bookmarkEnd w:id="616"/>
      <w:bookmarkEnd w:id="617"/>
      <w:bookmarkEnd w:id="618"/>
      <w:bookmarkEnd w:id="619"/>
      <w:bookmarkEnd w:id="620"/>
      <w:bookmarkEnd w:id="621"/>
      <w:bookmarkEnd w:id="622"/>
      <w:bookmarkEnd w:id="623"/>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突发环境事件的报告分为初报、续报和处理结果报告三类。初报从发现事件后起</w:t>
      </w:r>
      <w:r>
        <w:rPr>
          <w:rFonts w:ascii="Times New Roman" w:hAnsi="Times New Roman" w:cs="Times New Roman"/>
          <w:color w:val="000000" w:themeColor="text1"/>
          <w:kern w:val="0"/>
          <w:sz w:val="24"/>
          <w:szCs w:val="24"/>
          <w:u w:val="single"/>
        </w:rPr>
        <w:t>1小时内</w:t>
      </w:r>
      <w:r>
        <w:rPr>
          <w:rFonts w:ascii="Times New Roman" w:hAnsi="Times New Roman" w:cs="Times New Roman"/>
          <w:color w:val="000000" w:themeColor="text1"/>
          <w:kern w:val="0"/>
          <w:sz w:val="24"/>
          <w:szCs w:val="24"/>
        </w:rPr>
        <w:t>上报；续报在查清有关基本情况后随时上报；处理结果报告在事件处理完毕后立即上报。</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初报可用电话直接报告，主要内容包括：环境事件的类型、发生时间、地点、污染源、主要污染物质、人员受害情况、事件潜在的危害程度、转化方式趋向等初步情况。</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续报可通过网络或书面报告，在初报的基础上报告有关确切数据，事件发生的原因、过程、进展情况及采取的应急措施等基本情况。</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处理结果报告采用书面报告，处理结果报告在初报和续报的基础上，报告处理事件的措施、过程和结果，事件潜在或间接的危害、社会影响、处理后的遗留问题，参加处理工作的有关部门和工作内容，出具有关危害与损失的证明文件等详细情况。</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内部信息报告的形式和要求，以及事件信息的通报流程。</w:t>
      </w:r>
    </w:p>
    <w:p>
      <w:pPr>
        <w:spacing w:line="500" w:lineRule="exact"/>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报告形式包括电话报告及书面报告，内部信息报告内容主要包括：</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（1）发生污染事故所属环保监控区域，具体地点、具体时间及设备、设施；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（2）事故类型：火灾爆炸、中毒、危险源泄漏；</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（3）发生污染事件原因及应急措施或方法；</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（4）有无人员伤亡及被困人员；</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（5）上报时限：立即上报</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（6）污染事件通报流程：直接上报突发环境应急小组办公室。</w:t>
      </w:r>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624" w:name="_Toc13624_WPSOffice_Level2"/>
      <w:bookmarkStart w:id="625" w:name="_Toc5838"/>
      <w:bookmarkStart w:id="626" w:name="_Toc20317_WPSOffice_Level2"/>
      <w:bookmarkStart w:id="627" w:name="_Toc10370_WPSOffice_Level2"/>
      <w:bookmarkStart w:id="628" w:name="_Toc3184"/>
      <w:bookmarkStart w:id="629" w:name="_Toc24638"/>
      <w:bookmarkStart w:id="630" w:name="_Toc25863_WPSOffice_Level2"/>
      <w:bookmarkStart w:id="631" w:name="_Toc18397_WPSOffice_Level2"/>
      <w:bookmarkStart w:id="632" w:name="_Toc29397"/>
      <w:r>
        <w:rPr>
          <w:rFonts w:ascii="Times New Roman" w:hAnsi="Times New Roman" w:cs="Times New Roman"/>
          <w:b/>
          <w:bCs/>
          <w:color w:val="000000" w:themeColor="text1"/>
          <w:sz w:val="24"/>
          <w:szCs w:val="24"/>
        </w:rPr>
        <w:t>6.2信息上报</w:t>
      </w:r>
      <w:bookmarkEnd w:id="624"/>
      <w:bookmarkEnd w:id="625"/>
      <w:bookmarkEnd w:id="626"/>
      <w:bookmarkEnd w:id="627"/>
      <w:bookmarkEnd w:id="628"/>
      <w:bookmarkEnd w:id="629"/>
      <w:bookmarkEnd w:id="630"/>
      <w:bookmarkEnd w:id="631"/>
      <w:bookmarkEnd w:id="632"/>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若发生重特大污染事件，突发环境事件应急领导小组必须在</w:t>
      </w:r>
      <w:r>
        <w:rPr>
          <w:rFonts w:ascii="Times New Roman" w:hAnsi="Times New Roman" w:cs="Times New Roman"/>
          <w:color w:val="000000" w:themeColor="text1"/>
          <w:kern w:val="0"/>
          <w:sz w:val="24"/>
          <w:szCs w:val="24"/>
          <w:u w:val="single"/>
          <w:lang w:val="zh-CN"/>
        </w:rPr>
        <w:t>1小时内</w:t>
      </w:r>
      <w:r>
        <w:rPr>
          <w:rFonts w:ascii="Times New Roman" w:hAnsi="Times New Roman" w:cs="Times New Roman"/>
          <w:color w:val="000000" w:themeColor="text1"/>
          <w:kern w:val="0"/>
          <w:sz w:val="24"/>
          <w:szCs w:val="24"/>
          <w:lang w:val="zh-CN"/>
        </w:rPr>
        <w:t>报告上级领导部门。</w:t>
      </w:r>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633" w:name="_Toc26522_WPSOffice_Level2"/>
      <w:bookmarkStart w:id="634" w:name="_Toc16888"/>
      <w:bookmarkStart w:id="635" w:name="_Toc21119_WPSOffice_Level2"/>
      <w:bookmarkStart w:id="636" w:name="_Toc2852"/>
      <w:bookmarkStart w:id="637" w:name="_Toc27503_WPSOffice_Level2"/>
      <w:bookmarkStart w:id="638" w:name="_Toc23381"/>
      <w:bookmarkStart w:id="639" w:name="_Toc5742_WPSOffice_Level2"/>
      <w:bookmarkStart w:id="640" w:name="_Toc4553_WPSOffice_Level2"/>
      <w:bookmarkStart w:id="641" w:name="_Toc24996"/>
      <w:r>
        <w:rPr>
          <w:rFonts w:ascii="Times New Roman" w:hAnsi="Times New Roman" w:cs="Times New Roman"/>
          <w:b/>
          <w:bCs/>
          <w:color w:val="000000" w:themeColor="text1"/>
          <w:sz w:val="24"/>
          <w:szCs w:val="24"/>
        </w:rPr>
        <w:t>6.3信息传递</w:t>
      </w:r>
      <w:bookmarkEnd w:id="633"/>
      <w:bookmarkEnd w:id="634"/>
      <w:bookmarkEnd w:id="635"/>
      <w:bookmarkEnd w:id="636"/>
      <w:bookmarkEnd w:id="637"/>
      <w:bookmarkEnd w:id="638"/>
      <w:bookmarkEnd w:id="639"/>
      <w:bookmarkEnd w:id="640"/>
      <w:bookmarkEnd w:id="641"/>
    </w:p>
    <w:p>
      <w:pPr>
        <w:spacing w:before="100" w:after="100"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加油站应急领导小组负责人启动本预案后，同时采取有效措施，防止事故扩大，减少人员伤亡和财产损失。在影响到加油站以外的相关村庄居民时，要在第一时间向周边村庄居民传递可能发生的灾害，通知周边居民疏散。加油站负责人负责信息传递和解释工作。</w:t>
      </w:r>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642" w:name="_Toc13699_WPSOffice_Level2"/>
      <w:bookmarkStart w:id="643" w:name="_Toc22725_WPSOffice_Level2"/>
      <w:bookmarkStart w:id="644" w:name="_Toc13664_WPSOffice_Level2"/>
      <w:bookmarkStart w:id="645" w:name="_Toc11908"/>
      <w:bookmarkStart w:id="646" w:name="_Toc30541"/>
      <w:bookmarkStart w:id="647" w:name="_Toc28126_WPSOffice_Level2"/>
      <w:bookmarkStart w:id="648" w:name="_Toc19919_WPSOffice_Level2"/>
      <w:bookmarkStart w:id="649" w:name="_Toc13794"/>
      <w:bookmarkStart w:id="650" w:name="_Toc9944"/>
      <w:r>
        <w:rPr>
          <w:rFonts w:ascii="Times New Roman" w:hAnsi="Times New Roman" w:cs="Times New Roman"/>
          <w:b/>
          <w:bCs/>
          <w:color w:val="000000" w:themeColor="text1"/>
          <w:sz w:val="24"/>
          <w:szCs w:val="24"/>
        </w:rPr>
        <w:t>6.4 信息发布</w:t>
      </w:r>
      <w:bookmarkEnd w:id="642"/>
      <w:bookmarkEnd w:id="643"/>
      <w:bookmarkEnd w:id="644"/>
      <w:bookmarkEnd w:id="645"/>
      <w:bookmarkEnd w:id="646"/>
      <w:bookmarkEnd w:id="647"/>
      <w:bookmarkEnd w:id="648"/>
      <w:bookmarkEnd w:id="649"/>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（1）公司应急领导小组组织信息发布，负责说明有关事故处理完毕后的调查结果、采取的措施、善后处理的安排及预防改进措施等。</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（2）在信息发布过程中，信息发布组应严格遵守国家法律法规规定，实事求是、客观公正、及时准确地报道事故发生、发展过程。</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（3）公司对外新闻发言人由应急救援指挥部指定。</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（4）所有对外发布的报道，须报请公司应急救援指挥部审定后方可在媒体上发布。</w:t>
      </w:r>
    </w:p>
    <w:p>
      <w:pP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br w:type="page"/>
      </w:r>
    </w:p>
    <w:p>
      <w:pPr>
        <w:keepNext/>
        <w:keepLines/>
        <w:spacing w:beforeLines="100" w:afterLines="100" w:line="500" w:lineRule="exact"/>
        <w:jc w:val="center"/>
        <w:outlineLvl w:val="0"/>
        <w:rPr>
          <w:rFonts w:ascii="Times New Roman" w:hAnsi="Times New Roman" w:cs="Times New Roman"/>
          <w:b/>
          <w:bCs/>
          <w:color w:val="000000" w:themeColor="text1"/>
          <w:kern w:val="44"/>
          <w:sz w:val="30"/>
          <w:szCs w:val="30"/>
        </w:rPr>
      </w:pPr>
      <w:bookmarkStart w:id="651" w:name="_Toc18206"/>
      <w:bookmarkStart w:id="652" w:name="_Toc2221_WPSOffice_Level1"/>
      <w:bookmarkStart w:id="653" w:name="_Toc6079"/>
      <w:bookmarkStart w:id="654" w:name="_Toc21536_WPSOffice_Level1"/>
      <w:bookmarkStart w:id="655" w:name="_Toc14468_WPSOffice_Level1"/>
      <w:bookmarkStart w:id="656" w:name="_Toc20556_WPSOffice_Level1"/>
      <w:bookmarkStart w:id="657" w:name="_Toc31867_WPSOffice_Level1"/>
      <w:bookmarkStart w:id="658" w:name="_Toc30750"/>
      <w:bookmarkStart w:id="659" w:name="_Toc20703"/>
      <w:r>
        <w:rPr>
          <w:rFonts w:ascii="Times New Roman" w:hAnsi="Times New Roman" w:cs="Times New Roman"/>
          <w:b/>
          <w:bCs/>
          <w:color w:val="000000" w:themeColor="text1"/>
          <w:kern w:val="44"/>
          <w:sz w:val="30"/>
          <w:szCs w:val="30"/>
        </w:rPr>
        <w:t>7、应急响应与措施</w:t>
      </w:r>
      <w:bookmarkEnd w:id="651"/>
      <w:bookmarkEnd w:id="652"/>
      <w:bookmarkEnd w:id="653"/>
      <w:bookmarkEnd w:id="654"/>
      <w:bookmarkEnd w:id="655"/>
      <w:bookmarkEnd w:id="656"/>
      <w:bookmarkEnd w:id="657"/>
      <w:bookmarkEnd w:id="658"/>
      <w:bookmarkEnd w:id="659"/>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660" w:name="_Toc13754"/>
      <w:bookmarkStart w:id="661" w:name="_Toc31867_WPSOffice_Level2"/>
      <w:bookmarkStart w:id="662" w:name="_Toc14371_WPSOffice_Level2"/>
      <w:bookmarkStart w:id="663" w:name="_Toc1786_WPSOffice_Level2"/>
      <w:bookmarkStart w:id="664" w:name="_Toc29833"/>
      <w:bookmarkStart w:id="665" w:name="_Toc1602"/>
      <w:bookmarkStart w:id="666" w:name="_Toc14989_WPSOffice_Level2"/>
      <w:bookmarkStart w:id="667" w:name="_Toc2823_WPSOffice_Level2"/>
      <w:bookmarkStart w:id="668" w:name="_Toc6730"/>
      <w:bookmarkStart w:id="669" w:name="_Toc20918"/>
      <w:bookmarkStart w:id="670" w:name="_Toc19885"/>
      <w:r>
        <w:rPr>
          <w:rFonts w:ascii="Times New Roman" w:hAnsi="Times New Roman" w:cs="Times New Roman"/>
          <w:b/>
          <w:bCs/>
          <w:color w:val="000000" w:themeColor="text1"/>
          <w:sz w:val="24"/>
          <w:szCs w:val="24"/>
        </w:rPr>
        <w:t>7.1分级响应</w:t>
      </w:r>
      <w:bookmarkEnd w:id="660"/>
      <w:r>
        <w:rPr>
          <w:rFonts w:ascii="Times New Roman" w:hAnsi="Times New Roman" w:cs="Times New Roman"/>
          <w:b/>
          <w:bCs/>
          <w:color w:val="000000" w:themeColor="text1"/>
          <w:sz w:val="24"/>
          <w:szCs w:val="24"/>
        </w:rPr>
        <w:t>机制</w:t>
      </w:r>
      <w:bookmarkEnd w:id="661"/>
      <w:bookmarkEnd w:id="662"/>
      <w:bookmarkEnd w:id="663"/>
      <w:bookmarkEnd w:id="664"/>
      <w:bookmarkEnd w:id="665"/>
      <w:bookmarkEnd w:id="666"/>
      <w:bookmarkEnd w:id="667"/>
      <w:bookmarkEnd w:id="668"/>
      <w:bookmarkEnd w:id="669"/>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突发环境事件应急响应坚持以突发环境事件应急领导小组统一领导，按照环境保护片区负责制，各个加油员、相关部门为单位支持的原则。按突发环境事件的可控性、严重程度和影响范围，突发环境事件的应急响应分不可控（不可控响应-当地政府）、可控（可控响应-加油站内部）两级。超出加油站应急处置能力时，应及时启动不可控应急响应、请求当地相关政府部门支援。</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fldChar w:fldCharType="begin"/>
      </w:r>
      <w:r>
        <w:rPr>
          <w:rFonts w:ascii="Times New Roman" w:hAnsi="Times New Roman" w:cs="Times New Roman"/>
          <w:b/>
          <w:color w:val="000000" w:themeColor="text1"/>
          <w:kern w:val="0"/>
          <w:sz w:val="24"/>
          <w:szCs w:val="24"/>
          <w:lang w:val="zh-CN"/>
        </w:rPr>
        <w:instrText xml:space="preserve"> = 1 \* GB2 \* MERGEFORMAT </w:instrText>
      </w:r>
      <w:r>
        <w:rPr>
          <w:rFonts w:ascii="Times New Roman" w:hAnsi="Times New Roman" w:cs="Times New Roman"/>
          <w:b/>
          <w:color w:val="000000" w:themeColor="text1"/>
          <w:kern w:val="0"/>
          <w:sz w:val="24"/>
          <w:szCs w:val="24"/>
          <w:lang w:val="zh-CN"/>
        </w:rPr>
        <w:fldChar w:fldCharType="separate"/>
      </w:r>
      <w:r>
        <w:rPr>
          <w:rFonts w:hint="eastAsia" w:ascii="宋体" w:hAnsi="宋体" w:eastAsia="宋体" w:cs="宋体"/>
          <w:b/>
          <w:color w:val="000000" w:themeColor="text1"/>
          <w:kern w:val="0"/>
          <w:sz w:val="24"/>
          <w:szCs w:val="24"/>
          <w:lang w:val="zh-CN"/>
        </w:rPr>
        <w:t>⑴</w:t>
      </w:r>
      <w:r>
        <w:rPr>
          <w:rFonts w:ascii="Times New Roman" w:hAnsi="Times New Roman" w:cs="Times New Roman"/>
          <w:b/>
          <w:color w:val="000000" w:themeColor="text1"/>
          <w:kern w:val="0"/>
          <w:sz w:val="24"/>
          <w:szCs w:val="24"/>
          <w:lang w:val="zh-CN"/>
        </w:rPr>
        <w:fldChar w:fldCharType="end"/>
      </w:r>
      <w:r>
        <w:rPr>
          <w:rFonts w:ascii="Times New Roman" w:hAnsi="Times New Roman" w:cs="Times New Roman"/>
          <w:b/>
          <w:color w:val="000000" w:themeColor="text1"/>
          <w:kern w:val="0"/>
          <w:sz w:val="24"/>
          <w:szCs w:val="24"/>
          <w:lang w:val="zh-CN"/>
        </w:rPr>
        <w:t>不可控预警：</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为已发生火灾、爆炸和危险源大面积泄漏事故，且危险源流出或扩散到周边社区、企业，公司已没有能力控制，由加油站应急领导小组在1小时内报告当地相关政府部门，请求支援、启动</w:t>
      </w:r>
      <w:r>
        <w:rPr>
          <w:rFonts w:hint="eastAsia" w:ascii="宋体" w:hAnsi="宋体" w:eastAsia="宋体" w:cs="宋体"/>
          <w:color w:val="000000" w:themeColor="text1"/>
          <w:kern w:val="0"/>
          <w:sz w:val="24"/>
          <w:szCs w:val="24"/>
          <w:lang w:val="zh-CN"/>
        </w:rPr>
        <w:t>Ⅰ</w:t>
      </w:r>
      <w:r>
        <w:rPr>
          <w:rFonts w:ascii="Times New Roman" w:hAnsi="Times New Roman" w:cs="Times New Roman"/>
          <w:color w:val="000000" w:themeColor="text1"/>
          <w:kern w:val="0"/>
          <w:sz w:val="24"/>
          <w:szCs w:val="24"/>
          <w:lang w:val="zh-CN"/>
        </w:rPr>
        <w:t>级应急救援预案。</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fldChar w:fldCharType="begin"/>
      </w:r>
      <w:r>
        <w:rPr>
          <w:rFonts w:ascii="Times New Roman" w:hAnsi="Times New Roman" w:cs="Times New Roman"/>
          <w:b/>
          <w:color w:val="000000" w:themeColor="text1"/>
          <w:kern w:val="0"/>
          <w:sz w:val="24"/>
          <w:szCs w:val="24"/>
          <w:lang w:val="zh-CN"/>
        </w:rPr>
        <w:instrText xml:space="preserve"> = 2 \* GB2 \* MERGEFORMAT </w:instrText>
      </w:r>
      <w:r>
        <w:rPr>
          <w:rFonts w:ascii="Times New Roman" w:hAnsi="Times New Roman" w:cs="Times New Roman"/>
          <w:b/>
          <w:color w:val="000000" w:themeColor="text1"/>
          <w:kern w:val="0"/>
          <w:sz w:val="24"/>
          <w:szCs w:val="24"/>
          <w:lang w:val="zh-CN"/>
        </w:rPr>
        <w:fldChar w:fldCharType="separate"/>
      </w:r>
      <w:r>
        <w:rPr>
          <w:rFonts w:hint="eastAsia" w:ascii="宋体" w:hAnsi="宋体" w:eastAsia="宋体" w:cs="宋体"/>
          <w:b/>
          <w:color w:val="000000" w:themeColor="text1"/>
          <w:kern w:val="0"/>
          <w:sz w:val="24"/>
          <w:szCs w:val="24"/>
          <w:lang w:val="zh-CN"/>
        </w:rPr>
        <w:t>⑵</w:t>
      </w:r>
      <w:r>
        <w:rPr>
          <w:rFonts w:ascii="Times New Roman" w:hAnsi="Times New Roman" w:cs="Times New Roman"/>
          <w:b/>
          <w:color w:val="000000" w:themeColor="text1"/>
          <w:kern w:val="0"/>
          <w:sz w:val="24"/>
          <w:szCs w:val="24"/>
          <w:lang w:val="zh-CN"/>
        </w:rPr>
        <w:fldChar w:fldCharType="end"/>
      </w:r>
      <w:r>
        <w:rPr>
          <w:rFonts w:ascii="Times New Roman" w:hAnsi="Times New Roman" w:cs="Times New Roman"/>
          <w:b/>
          <w:color w:val="000000" w:themeColor="text1"/>
          <w:kern w:val="0"/>
          <w:sz w:val="24"/>
          <w:szCs w:val="24"/>
          <w:lang w:val="zh-CN"/>
        </w:rPr>
        <w:t>可控预警：</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a</w:t>
      </w:r>
      <w:r>
        <w:rPr>
          <w:rFonts w:ascii="Times New Roman" w:hAnsi="Times New Roman" w:cs="Times New Roman"/>
          <w:color w:val="000000" w:themeColor="text1"/>
          <w:kern w:val="0"/>
          <w:sz w:val="24"/>
          <w:szCs w:val="24"/>
          <w:lang w:val="zh-CN"/>
        </w:rPr>
        <w:t>、为已发生火灾、爆炸和危险源大面积泄漏事故，但危险源没有流出或扩散到周边社区、企业，由公司加油站应急领导小组组织实施应急救援，加油站内部各应急小组现场处置。</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b</w:t>
      </w:r>
      <w:r>
        <w:rPr>
          <w:rFonts w:ascii="Times New Roman" w:hAnsi="Times New Roman" w:cs="Times New Roman"/>
          <w:color w:val="000000" w:themeColor="text1"/>
          <w:kern w:val="0"/>
          <w:sz w:val="24"/>
          <w:szCs w:val="24"/>
          <w:lang w:val="zh-CN"/>
        </w:rPr>
        <w:t>、为已发生火灾和危险源泄漏，在短时间内可以处置控制未对周边企业和社区产生影响的突发环境事故时，由班组应急小组组织实施应急救援，及时报告加油站应急领导小组，做好协调工作。</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c、</w:t>
      </w: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1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lang w:val="zh-CN"/>
        </w:rPr>
        <w:t>①</w:t>
      </w:r>
      <w:r>
        <w:rPr>
          <w:rFonts w:ascii="Times New Roman" w:hAnsi="Times New Roman" w:cs="Times New Roman"/>
          <w:color w:val="000000" w:themeColor="text1"/>
          <w:kern w:val="0"/>
          <w:sz w:val="24"/>
          <w:szCs w:val="24"/>
          <w:lang w:val="zh-CN"/>
        </w:rPr>
        <w:fldChar w:fldCharType="end"/>
      </w:r>
      <w:r>
        <w:rPr>
          <w:rFonts w:ascii="Times New Roman" w:hAnsi="Times New Roman" w:cs="Times New Roman"/>
          <w:color w:val="000000" w:themeColor="text1"/>
          <w:kern w:val="0"/>
          <w:sz w:val="24"/>
          <w:szCs w:val="24"/>
          <w:lang w:val="zh-CN"/>
        </w:rPr>
        <w:t>设备、设施故障，将会导致</w:t>
      </w:r>
      <w:r>
        <w:rPr>
          <w:rFonts w:ascii="Times New Roman" w:hAnsi="Times New Roman" w:cs="Times New Roman"/>
          <w:color w:val="000000" w:themeColor="text1"/>
          <w:kern w:val="0"/>
          <w:sz w:val="24"/>
          <w:szCs w:val="24"/>
        </w:rPr>
        <w:t>危险源</w:t>
      </w:r>
      <w:r>
        <w:rPr>
          <w:rFonts w:ascii="Times New Roman" w:hAnsi="Times New Roman" w:cs="Times New Roman"/>
          <w:color w:val="000000" w:themeColor="text1"/>
          <w:kern w:val="0"/>
          <w:sz w:val="24"/>
          <w:szCs w:val="24"/>
          <w:lang w:val="zh-CN"/>
        </w:rPr>
        <w:t>泄漏、火灾、爆炸等环境安全事故的；</w:t>
      </w: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2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lang w:val="zh-CN"/>
        </w:rPr>
        <w:t>②</w:t>
      </w:r>
      <w:r>
        <w:rPr>
          <w:rFonts w:ascii="Times New Roman" w:hAnsi="Times New Roman" w:cs="Times New Roman"/>
          <w:color w:val="000000" w:themeColor="text1"/>
          <w:kern w:val="0"/>
          <w:sz w:val="24"/>
          <w:szCs w:val="24"/>
          <w:lang w:val="zh-CN"/>
        </w:rPr>
        <w:fldChar w:fldCharType="end"/>
      </w:r>
      <w:r>
        <w:rPr>
          <w:rFonts w:ascii="Times New Roman" w:hAnsi="Times New Roman" w:cs="Times New Roman"/>
          <w:color w:val="000000" w:themeColor="text1"/>
          <w:kern w:val="0"/>
          <w:sz w:val="24"/>
          <w:szCs w:val="24"/>
          <w:lang w:val="zh-CN"/>
        </w:rPr>
        <w:t>现场发现存在泄漏或火灾迹象的；</w:t>
      </w: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3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lang w:val="zh-CN"/>
        </w:rPr>
        <w:t>③</w:t>
      </w:r>
      <w:r>
        <w:rPr>
          <w:rFonts w:ascii="Times New Roman" w:hAnsi="Times New Roman" w:cs="Times New Roman"/>
          <w:color w:val="000000" w:themeColor="text1"/>
          <w:kern w:val="0"/>
          <w:sz w:val="24"/>
          <w:szCs w:val="24"/>
          <w:lang w:val="zh-CN"/>
        </w:rPr>
        <w:fldChar w:fldCharType="end"/>
      </w:r>
      <w:r>
        <w:rPr>
          <w:rFonts w:ascii="Times New Roman" w:hAnsi="Times New Roman" w:cs="Times New Roman"/>
          <w:color w:val="000000" w:themeColor="text1"/>
          <w:kern w:val="0"/>
          <w:sz w:val="24"/>
          <w:szCs w:val="24"/>
          <w:lang w:val="zh-CN"/>
        </w:rPr>
        <w:t>遇雷雨、极端气候、汛涝等恶劣气候；</w:t>
      </w: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4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lang w:val="zh-CN"/>
        </w:rPr>
        <w:t>④</w:t>
      </w:r>
      <w:r>
        <w:rPr>
          <w:rFonts w:ascii="Times New Roman" w:hAnsi="Times New Roman" w:cs="Times New Roman"/>
          <w:color w:val="000000" w:themeColor="text1"/>
          <w:kern w:val="0"/>
          <w:sz w:val="24"/>
          <w:szCs w:val="24"/>
          <w:lang w:val="zh-CN"/>
        </w:rPr>
        <w:fldChar w:fldCharType="end"/>
      </w:r>
      <w:r>
        <w:rPr>
          <w:rFonts w:ascii="Times New Roman" w:hAnsi="Times New Roman" w:cs="Times New Roman"/>
          <w:color w:val="000000" w:themeColor="text1"/>
          <w:kern w:val="0"/>
          <w:sz w:val="24"/>
          <w:szCs w:val="24"/>
          <w:lang w:val="zh-CN"/>
        </w:rPr>
        <w:t>其他异常现象等，由加油站班组及时应急处置，同时报告加油站应急办公室，做好应急协调工作。</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hint="eastAsia" w:ascii="宋体" w:hAnsi="宋体" w:eastAsia="宋体" w:cs="宋体"/>
          <w:b/>
          <w:color w:val="000000" w:themeColor="text1"/>
          <w:kern w:val="0"/>
          <w:sz w:val="24"/>
          <w:szCs w:val="24"/>
        </w:rPr>
        <w:t>⑶</w:t>
      </w:r>
      <w:r>
        <w:rPr>
          <w:rFonts w:ascii="Times New Roman" w:hAnsi="Times New Roman" w:cs="Times New Roman"/>
          <w:b/>
          <w:color w:val="000000" w:themeColor="text1"/>
          <w:kern w:val="0"/>
          <w:sz w:val="24"/>
          <w:szCs w:val="24"/>
          <w:lang w:val="zh-CN"/>
        </w:rPr>
        <w:t>分级响应条件：</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lang w:val="zh-CN"/>
        </w:rPr>
        <w:t>加油站危险事故的类别主要有：油品泄漏、</w:t>
      </w:r>
      <w:r>
        <w:rPr>
          <w:rFonts w:ascii="Times New Roman" w:hAnsi="Times New Roman" w:cs="Times New Roman"/>
          <w:color w:val="000000" w:themeColor="text1"/>
          <w:kern w:val="0"/>
          <w:sz w:val="24"/>
          <w:szCs w:val="24"/>
        </w:rPr>
        <w:t>火灾中毒、环境污染等</w:t>
      </w:r>
      <w:r>
        <w:rPr>
          <w:rFonts w:ascii="Times New Roman" w:hAnsi="Times New Roman" w:cs="Times New Roman"/>
          <w:color w:val="000000" w:themeColor="text1"/>
          <w:kern w:val="0"/>
          <w:sz w:val="24"/>
          <w:szCs w:val="24"/>
          <w:lang w:val="zh-CN"/>
        </w:rPr>
        <w:t>。前一种多是由于操作人员在工作中操作不当引起，涉及范围较小，而后两种不发生则已，一旦发生引起几种共同发生的机率十分大，危害程度极高，波及范围十分广，必须在1小时内向南昌</w:t>
      </w:r>
      <w:r>
        <w:rPr>
          <w:rFonts w:hint="eastAsia" w:ascii="Times New Roman" w:hAnsi="Times New Roman" w:cs="Times New Roman"/>
          <w:color w:val="000000" w:themeColor="text1"/>
          <w:kern w:val="0"/>
          <w:sz w:val="24"/>
          <w:szCs w:val="24"/>
          <w:lang w:val="en-US" w:eastAsia="zh-CN"/>
        </w:rPr>
        <w:t>市</w:t>
      </w:r>
      <w:r>
        <w:rPr>
          <w:rFonts w:ascii="Times New Roman" w:hAnsi="Times New Roman" w:cs="Times New Roman"/>
          <w:color w:val="000000" w:themeColor="text1"/>
          <w:kern w:val="0"/>
          <w:sz w:val="24"/>
          <w:szCs w:val="24"/>
          <w:lang w:val="zh-CN"/>
        </w:rPr>
        <w:t>环境保护局、当地政府相关部门请求应急救援。</w:t>
      </w:r>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671" w:name="_Toc17746_WPSOffice_Level2"/>
      <w:bookmarkStart w:id="672" w:name="_Toc6831_WPSOffice_Level2"/>
      <w:bookmarkStart w:id="673" w:name="_Toc9848_WPSOffice_Level2"/>
      <w:bookmarkStart w:id="674" w:name="_Toc20896_WPSOffice_Level2"/>
      <w:bookmarkStart w:id="675" w:name="_Toc27893"/>
      <w:bookmarkStart w:id="676" w:name="_Toc2629"/>
      <w:bookmarkStart w:id="677" w:name="_Toc22434"/>
      <w:bookmarkStart w:id="678" w:name="_Toc9787_WPSOffice_Level2"/>
      <w:bookmarkStart w:id="679" w:name="_Toc27495"/>
      <w:r>
        <w:rPr>
          <w:rFonts w:ascii="Times New Roman" w:hAnsi="Times New Roman" w:cs="Times New Roman"/>
          <w:b/>
          <w:bCs/>
          <w:color w:val="000000" w:themeColor="text1"/>
          <w:sz w:val="24"/>
          <w:szCs w:val="24"/>
        </w:rPr>
        <w:t>7.2响应</w:t>
      </w:r>
      <w:bookmarkEnd w:id="670"/>
      <w:r>
        <w:rPr>
          <w:rFonts w:ascii="Times New Roman" w:hAnsi="Times New Roman" w:cs="Times New Roman"/>
          <w:b/>
          <w:bCs/>
          <w:color w:val="000000" w:themeColor="text1"/>
          <w:sz w:val="24"/>
          <w:szCs w:val="24"/>
        </w:rPr>
        <w:t>程序</w:t>
      </w:r>
      <w:bookmarkEnd w:id="671"/>
      <w:bookmarkEnd w:id="672"/>
      <w:bookmarkEnd w:id="673"/>
      <w:bookmarkEnd w:id="674"/>
      <w:bookmarkEnd w:id="675"/>
      <w:bookmarkEnd w:id="676"/>
      <w:bookmarkEnd w:id="677"/>
      <w:bookmarkEnd w:id="678"/>
      <w:bookmarkEnd w:id="679"/>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分区预警，分区重点控制，主要包括以下内容：</w:t>
      </w:r>
    </w:p>
    <w:p>
      <w:pPr>
        <w:pStyle w:val="13"/>
        <w:widowControl w:val="0"/>
        <w:spacing w:before="0" w:beforeAutospacing="0" w:after="0" w:afterAutospacing="0" w:line="500" w:lineRule="exact"/>
        <w:ind w:firstLine="480" w:firstLineChars="200"/>
      </w:pPr>
      <w:r>
        <w:rPr>
          <w:rFonts w:ascii="Times New Roman" w:hAnsi="Times New Roman" w:eastAsiaTheme="minorEastAsia"/>
          <w:color w:val="000000" w:themeColor="text1"/>
          <w:szCs w:val="24"/>
          <w:lang w:val="zh-CN"/>
        </w:rPr>
        <w:t>加油站突发环境事件主要包括汽油泄漏、含油废水泄漏、危险废物不安全处置等，响应流程如下：</w:t>
      </w:r>
      <w:bookmarkStart w:id="680" w:name="_Toc21791"/>
    </w:p>
    <w:p>
      <w:pPr>
        <w:pStyle w:val="13"/>
        <w:widowControl w:val="0"/>
        <w:spacing w:before="0" w:beforeAutospacing="0" w:after="0" w:afterAutospacing="0" w:line="500" w:lineRule="exact"/>
        <w:ind w:firstLine="480" w:firstLineChars="200"/>
      </w:pPr>
      <w:r>
        <w:rPr>
          <w:rFonts w:ascii="Times New Roman" w:hAnsi="Times New Roman" w:eastAsia="宋体"/>
          <w:szCs w:val="24"/>
        </w:rPr>
        <w:pict>
          <v:group id="组合 42" o:spid="_x0000_s2095" o:spt="203" style="position:absolute;left:0pt;margin-left:151.85pt;margin-top:4.95pt;height:330.9pt;width:217.2pt;mso-wrap-distance-bottom:0pt;mso-wrap-distance-top:0pt;z-index:251757568;mso-width-relative:page;mso-height-relative:page;" coordsize="4344,66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">
            <o:lock v:ext="edit"/>
            <v:shape id="流程图: 过程 24" o:spid="_x0000_s2096" o:spt="109" type="#_x0000_t109" style="position:absolute;left:1398;top:0;height:870;width:1524;"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">
              <v:path/>
              <v:fill focussize="0,0"/>
              <v:stroke joinstyle="miter"/>
              <v:imagedata o:title=""/>
              <o:lock v:ext="edit"/>
              <v:textbox>
                <w:txbxContent>
                  <w:p>
                    <w:pPr>
                      <w:jc w:val="center"/>
                      <w:rPr>
                        <w:rFonts w:eastAsia="Times New Roman"/>
                        <w:sz w:val="21"/>
                      </w:rPr>
                    </w:pPr>
                    <w:r>
                      <w:rPr>
                        <w:rFonts w:hint="eastAsia"/>
                        <w:sz w:val="21"/>
                      </w:rPr>
                      <w:t>突发环境污染事件</w:t>
                    </w:r>
                  </w:p>
                </w:txbxContent>
              </v:textbox>
            </v:shape>
            <v:shape id="下箭头 25" o:spid="_x0000_s2097" o:spt="67" type="#_x0000_t67" style="position:absolute;left:2089;top:870;height:503;width:143;"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" adj="16201">
              <v:path/>
              <v:fill focussize="0,0"/>
              <v:stroke joinstyle="miter"/>
              <v:imagedata o:title=""/>
              <o:lock v:ext="edit"/>
            </v:shape>
            <v:shape id="流程图: 过程 29" o:spid="_x0000_s2098" o:spt="109" type="#_x0000_t109" style="position:absolute;left:1340;top:1373;height:502;width:1641;"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">
              <v:path/>
              <v:fill focussize="0,0"/>
              <v:stroke joinstyle="miter"/>
              <v:imagedata o:title=""/>
              <o:lock v:ext="edit"/>
              <v:textbox>
                <w:txbxContent>
                  <w:p>
                    <w:pPr>
                      <w:rPr>
                        <w:rFonts w:eastAsia="Times New Roman"/>
                        <w:sz w:val="21"/>
                      </w:rPr>
                    </w:pPr>
                    <w:r>
                      <w:rPr>
                        <w:rFonts w:hint="eastAsia"/>
                        <w:sz w:val="21"/>
                      </w:rPr>
                      <w:t>应急领导小组</w:t>
                    </w:r>
                  </w:p>
                </w:txbxContent>
              </v:textbox>
            </v:shape>
            <v:shape id="下箭头 32" o:spid="_x0000_s2099" o:spt="67" type="#_x0000_t67" style="position:absolute;left:2089;top:1875;height:502;width:143;"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" adj="16201">
              <v:path/>
              <v:fill focussize="0,0"/>
              <v:stroke joinstyle="miter"/>
              <v:imagedata o:title=""/>
              <o:lock v:ext="edit"/>
            </v:shape>
            <v:shape id="流程图: 过程 33" o:spid="_x0000_s2100" o:spt="109" type="#_x0000_t109" style="position:absolute;left:3862;top:2848;height:1373;width:469;"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">
              <v:path/>
              <v:fill focussize="0,0"/>
              <v:stroke joinstyle="miter"/>
              <v:imagedata o:title=""/>
              <o:lock v:ext="edit"/>
              <v:textbox>
                <w:txbxContent>
                  <w:p>
                    <w:pPr>
                      <w:jc w:val="center"/>
                      <w:rPr>
                        <w:rFonts w:eastAsia="Times New Roman"/>
                        <w:sz w:val="21"/>
                      </w:rPr>
                    </w:pPr>
                    <w:r>
                      <w:rPr>
                        <w:rFonts w:hint="eastAsia"/>
                        <w:sz w:val="21"/>
                      </w:rPr>
                      <w:t>应急监测</w:t>
                    </w:r>
                  </w:p>
                </w:txbxContent>
              </v:textbox>
            </v:shape>
            <v:shape id="直接箭头连接符 34" o:spid="_x0000_s2101" o:spt="32" type="#_x0000_t32" style="position:absolute;left:117;top:2395;height:0;width:4052;" o:connectortype="straight" filled="f"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">
              <v:path arrowok="t"/>
              <v:fill on="f" focussize="0,0"/>
              <v:stroke/>
              <v:imagedata o:title=""/>
              <o:lock v:ext="edit"/>
            </v:shape>
            <v:shape id="下箭头 35" o:spid="_x0000_s2102" o:spt="67" type="#_x0000_t67" style="position:absolute;left:66;top:2369;height:486;width:143;"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" adj="16201">
              <v:path/>
              <v:fill focussize="0,0"/>
              <v:stroke joinstyle="miter"/>
              <v:imagedata o:title=""/>
              <o:lock v:ext="edit"/>
            </v:shape>
            <v:shape id="流程图: 过程 36" o:spid="_x0000_s2103" o:spt="109" type="#_x0000_t109" style="position:absolute;left:0;top:2848;height:1373;width:469;"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">
              <v:path/>
              <v:fill focussize="0,0"/>
              <v:stroke joinstyle="miter"/>
              <v:imagedata o:title=""/>
              <o:lock v:ext="edit"/>
              <v:textbox>
                <w:txbxContent>
                  <w:p>
                    <w:pPr>
                      <w:rPr>
                        <w:rFonts w:eastAsia="Times New Roman"/>
                        <w:sz w:val="21"/>
                      </w:rPr>
                    </w:pPr>
                    <w:r>
                      <w:rPr>
                        <w:rFonts w:hint="eastAsia"/>
                        <w:sz w:val="21"/>
                      </w:rPr>
                      <w:t>人员疏散</w:t>
                    </w:r>
                  </w:p>
                </w:txbxContent>
              </v:textbox>
            </v:shape>
            <v:shape id="下箭头 37" o:spid="_x0000_s2104" o:spt="67" type="#_x0000_t67" style="position:absolute;left:4064;top:2369;height:486;width:143;"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" adj="16201">
              <v:path/>
              <v:fill focussize="0,0"/>
              <v:stroke joinstyle="miter"/>
              <v:imagedata o:title=""/>
              <o:lock v:ext="edit"/>
            </v:shape>
            <v:shape id="流程图: 合并 38" o:spid="_x0000_s2105" o:spt="128" type="#_x0000_t128" style="position:absolute;left:0;top:4214;height:790;width:4344;"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">
              <v:path/>
              <v:fill focussize="0,0"/>
              <v:stroke joinstyle="miter"/>
              <v:imagedata o:title=""/>
              <o:lock v:ext="edit"/>
              <v:textbox>
                <w:txbxContent>
                  <w:p>
                    <w:pPr>
                      <w:jc w:val="center"/>
                      <w:rPr>
                        <w:rFonts w:eastAsia="Times New Roman"/>
                        <w:sz w:val="21"/>
                      </w:rPr>
                    </w:pPr>
                    <w:r>
                      <w:rPr>
                        <w:rFonts w:hint="eastAsia"/>
                        <w:sz w:val="21"/>
                      </w:rPr>
                      <w:t>故障排除</w:t>
                    </w:r>
                  </w:p>
                </w:txbxContent>
              </v:textbox>
            </v:shape>
            <v:shape id="流程图: 过程 39" o:spid="_x0000_s2106" o:spt="109" type="#_x0000_t109" style="position:absolute;left:1553;top:5010;height:586;width:1223;"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">
              <v:path/>
              <v:fill focussize="0,0"/>
              <v:stroke joinstyle="miter"/>
              <v:imagedata o:title=""/>
              <o:lock v:ext="edit"/>
              <v:textbox>
                <w:txbxContent>
                  <w:p>
                    <w:pPr>
                      <w:rPr>
                        <w:rFonts w:eastAsia="Times New Roman"/>
                        <w:sz w:val="21"/>
                      </w:rPr>
                    </w:pPr>
                    <w:r>
                      <w:rPr>
                        <w:rFonts w:hint="eastAsia"/>
                        <w:sz w:val="21"/>
                      </w:rPr>
                      <w:t>解除预警</w:t>
                    </w:r>
                  </w:p>
                </w:txbxContent>
              </v:textbox>
            </v:shape>
            <v:shape id="下箭头 40" o:spid="_x0000_s2107" o:spt="67" type="#_x0000_t67" style="position:absolute;left:2109;top:5597;height:469;width:143;"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" adj="16201">
              <v:path/>
              <v:fill focussize="0,0"/>
              <v:stroke joinstyle="miter"/>
              <v:imagedata o:title=""/>
              <o:lock v:ext="edit"/>
            </v:shape>
            <v:shape id="流程图: 过程 41" o:spid="_x0000_s2108" o:spt="109" type="#_x0000_t109" style="position:absolute;left:1540;top:6049;height:569;width:1223;"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">
              <v:path/>
              <v:fill focussize="0,0"/>
              <v:stroke joinstyle="miter"/>
              <v:imagedata o:title=""/>
              <o:lock v:ext="edit"/>
              <v:textbox>
                <w:txbxContent>
                  <w:p>
                    <w:pPr>
                      <w:rPr>
                        <w:rFonts w:eastAsia="Times New Roman"/>
                        <w:sz w:val="21"/>
                      </w:rPr>
                    </w:pPr>
                    <w:r>
                      <w:rPr>
                        <w:rFonts w:hint="eastAsia"/>
                        <w:sz w:val="21"/>
                      </w:rPr>
                      <w:t>建立台账</w:t>
                    </w:r>
                  </w:p>
                </w:txbxContent>
              </v:textbox>
            </v:shape>
            <w10:wrap type="topAndBottom"/>
          </v:group>
        </w:pict>
      </w:r>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681" w:name="_Toc31086_WPSOffice_Level2"/>
      <w:bookmarkStart w:id="682" w:name="_Toc10109"/>
      <w:bookmarkStart w:id="683" w:name="_Toc18515"/>
      <w:bookmarkStart w:id="684" w:name="_Toc25798_WPSOffice_Level2"/>
      <w:bookmarkStart w:id="685" w:name="_Toc28860_WPSOffice_Level2"/>
      <w:bookmarkStart w:id="686" w:name="_Toc21921_WPSOffice_Level2"/>
      <w:bookmarkStart w:id="687" w:name="_Toc16676_WPSOffice_Level2"/>
      <w:bookmarkStart w:id="688" w:name="_Toc31887"/>
      <w:r>
        <w:rPr>
          <w:rFonts w:ascii="Times New Roman" w:hAnsi="Times New Roman" w:cs="Times New Roman"/>
          <w:b/>
          <w:bCs/>
          <w:color w:val="000000" w:themeColor="text1"/>
          <w:sz w:val="24"/>
          <w:szCs w:val="24"/>
        </w:rPr>
        <w:t>7.3应急措施</w:t>
      </w:r>
      <w:bookmarkEnd w:id="680"/>
      <w:bookmarkEnd w:id="681"/>
      <w:bookmarkEnd w:id="682"/>
      <w:bookmarkEnd w:id="683"/>
      <w:bookmarkEnd w:id="684"/>
      <w:bookmarkEnd w:id="685"/>
      <w:bookmarkEnd w:id="686"/>
      <w:bookmarkEnd w:id="687"/>
      <w:bookmarkEnd w:id="688"/>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689" w:name="_Toc304896938"/>
      <w:bookmarkStart w:id="690" w:name="_Toc1204"/>
      <w:r>
        <w:rPr>
          <w:rFonts w:ascii="Times New Roman" w:hAnsi="Times New Roman" w:cs="Times New Roman"/>
          <w:color w:val="000000" w:themeColor="text1"/>
          <w:kern w:val="0"/>
          <w:sz w:val="24"/>
          <w:szCs w:val="24"/>
          <w:lang w:val="zh-CN"/>
        </w:rPr>
        <w:t>发生环境污染事件现场处置：</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加油站要立即采取关闭、封堵、围挡、吸附、转移等措施，切断和控制污染源，防止污染蔓延扩散。做好有毒有害物质和消防废水、废液等的收集、清理和安全处置工作。定期组织对污染来源开展调查，确定污染物种类和污染范围，切断污染源。 </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加油站应组织制订综合治污方案，采用监测和模拟等手段追踪污染气体扩散途径和范围；采取拦截、导流、疏浚等形式防止水体污染扩大；采取隔离、吸附、打捞、沉淀、消毒、去污洗消、临时收贮、微生物消解、转移异地处置、临时建设污染处置工程等方法处置污染物。</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加油站的危险废物经专用容器分类收集后，在收集间内暂存，全部委托有资质处置单位清运处置。</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危险废物的管理应符合危险废物集中处置的技术规范及危险废物专用包装物、容器标准和警示标示规定。在对所产生的废弃物进行初步的分类收集，禁止危险废物和其他生活垃圾混杂。及时收集本单位产生的危险废物，并按照类别分置于“三防”收集间暂存，按照国家危险废物相关管理要求收集、暂存、处置。危险废物收集间门上设有明显的危险废物警示标识，防止非工作人员进出、偷盗及不安全处置等行为发生。</w:t>
      </w:r>
    </w:p>
    <w:bookmarkEnd w:id="689"/>
    <w:bookmarkEnd w:id="690"/>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加油站经营的油品汽油是易燃易爆炸物品，发生泄漏时应急措施应注意事项：</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（1）实施控制事故发展的装备、资源。</w:t>
      </w:r>
      <w:r>
        <w:rPr>
          <w:rFonts w:hint="eastAsia" w:ascii="宋体" w:hAnsi="宋体" w:eastAsia="宋体" w:cs="宋体"/>
          <w:color w:val="000000" w:themeColor="text1"/>
          <w:kern w:val="0"/>
          <w:sz w:val="24"/>
          <w:szCs w:val="24"/>
          <w:lang w:val="zh-CN"/>
        </w:rPr>
        <w:t>①</w:t>
      </w:r>
      <w:r>
        <w:rPr>
          <w:rFonts w:ascii="Times New Roman" w:hAnsi="Times New Roman" w:cs="Times New Roman"/>
          <w:color w:val="000000" w:themeColor="text1"/>
          <w:kern w:val="0"/>
          <w:sz w:val="24"/>
          <w:szCs w:val="24"/>
          <w:lang w:val="zh-CN"/>
        </w:rPr>
        <w:t>通信设备应使用无线电通信设备，危险区内禁止使用移动电话和对讲机等非防爆型通信工具。</w:t>
      </w:r>
      <w:r>
        <w:rPr>
          <w:rFonts w:hint="eastAsia" w:ascii="宋体" w:hAnsi="宋体" w:eastAsia="宋体" w:cs="宋体"/>
          <w:color w:val="000000" w:themeColor="text1"/>
          <w:kern w:val="0"/>
          <w:sz w:val="24"/>
          <w:szCs w:val="24"/>
          <w:lang w:val="zh-CN"/>
        </w:rPr>
        <w:t>②</w:t>
      </w:r>
      <w:r>
        <w:rPr>
          <w:rFonts w:ascii="Times New Roman" w:hAnsi="Times New Roman" w:cs="Times New Roman"/>
          <w:color w:val="000000" w:themeColor="text1"/>
          <w:kern w:val="0"/>
          <w:sz w:val="24"/>
          <w:szCs w:val="24"/>
          <w:lang w:val="zh-CN"/>
        </w:rPr>
        <w:t>消防装备和器材：灭火砂箱、灭火毯、二氧化碳灭火器、干粉灭火器、应急照明设备等。</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（2）救护人员使用的装备：正压式空气呼吸器、全封闭防化服或防静电消防服、防静电工作服、防护隔热服、避火服、防冻衬纱橡胶手套等。</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（3）现场处置、检测用设备：风向仪、不同规格带压堵漏卡具、夹具、高压注胶枪、手动高压油泵、防火花的专业施工工具及防爆电筒等。</w:t>
      </w:r>
    </w:p>
    <w:p>
      <w:pPr>
        <w:keepNext/>
        <w:keepLines/>
        <w:spacing w:before="240" w:after="240" w:line="500" w:lineRule="exact"/>
        <w:jc w:val="left"/>
        <w:outlineLvl w:val="2"/>
        <w:rPr>
          <w:rFonts w:hint="eastAsia" w:ascii="Times New Roman" w:hAnsi="Times New Roman" w:cs="Times New Roman"/>
          <w:b/>
          <w:color w:val="000000" w:themeColor="text1"/>
          <w:sz w:val="24"/>
          <w:szCs w:val="24"/>
          <w:lang w:val="en-US" w:eastAsia="zh-CN"/>
        </w:rPr>
      </w:pPr>
      <w:bookmarkStart w:id="691" w:name="_Toc32604"/>
      <w:bookmarkStart w:id="692" w:name="_Toc13104"/>
      <w:r>
        <w:rPr>
          <w:rFonts w:hint="eastAsia" w:ascii="Times New Roman" w:hAnsi="Times New Roman" w:cs="Times New Roman"/>
          <w:b/>
          <w:color w:val="000000" w:themeColor="text1"/>
          <w:sz w:val="24"/>
          <w:szCs w:val="24"/>
          <w:lang w:val="en-US" w:eastAsia="zh-CN"/>
        </w:rPr>
        <w:t>7.3.1 预案启动</w:t>
      </w:r>
      <w:bookmarkEnd w:id="691"/>
      <w:bookmarkEnd w:id="692"/>
    </w:p>
    <w:p>
      <w:pPr>
        <w:spacing w:line="500" w:lineRule="exact"/>
        <w:ind w:firstLine="480" w:firstLineChars="200"/>
        <w:jc w:val="left"/>
        <w:rPr>
          <w:lang w:val="zh-CN"/>
        </w:rPr>
      </w:pPr>
      <w:r>
        <w:rPr>
          <w:rFonts w:hint="eastAsia" w:ascii="Times New Roman" w:hAnsi="Times New Roman" w:cs="Times New Roman"/>
          <w:color w:val="FF0000"/>
          <w:kern w:val="0"/>
          <w:sz w:val="24"/>
          <w:szCs w:val="24"/>
          <w:lang w:val="en-US" w:eastAsia="zh-CN"/>
        </w:rPr>
        <w:t>当加油站发生作业现场、油罐区跑、冒、滴、漏；</w:t>
      </w:r>
      <w:r>
        <w:rPr>
          <w:rFonts w:ascii="Times New Roman" w:hAnsi="Times New Roman" w:cs="Times New Roman"/>
          <w:color w:val="FF0000"/>
          <w:kern w:val="0"/>
          <w:sz w:val="24"/>
          <w:szCs w:val="24"/>
          <w:lang w:val="zh-CN"/>
        </w:rPr>
        <w:t>加油、卸油现场火灾</w:t>
      </w:r>
      <w:r>
        <w:rPr>
          <w:rFonts w:hint="eastAsia" w:ascii="Times New Roman" w:hAnsi="Times New Roman" w:cs="Times New Roman"/>
          <w:color w:val="FF0000"/>
          <w:kern w:val="0"/>
          <w:sz w:val="24"/>
          <w:szCs w:val="24"/>
          <w:lang w:val="zh-CN" w:eastAsia="zh-CN"/>
        </w:rPr>
        <w:t>；</w:t>
      </w:r>
      <w:r>
        <w:rPr>
          <w:rFonts w:ascii="Times New Roman" w:hAnsi="Times New Roman" w:cs="Times New Roman"/>
          <w:color w:val="FF0000"/>
          <w:kern w:val="0"/>
          <w:sz w:val="24"/>
          <w:szCs w:val="24"/>
          <w:lang w:val="zh-CN"/>
        </w:rPr>
        <w:t>车辆火灾</w:t>
      </w:r>
      <w:r>
        <w:rPr>
          <w:rFonts w:hint="eastAsia" w:ascii="Times New Roman" w:hAnsi="Times New Roman" w:cs="Times New Roman"/>
          <w:color w:val="FF0000"/>
          <w:kern w:val="0"/>
          <w:sz w:val="24"/>
          <w:szCs w:val="24"/>
          <w:lang w:val="zh-CN" w:eastAsia="zh-CN"/>
        </w:rPr>
        <w:t>；</w:t>
      </w:r>
      <w:r>
        <w:rPr>
          <w:rFonts w:ascii="Times New Roman" w:hAnsi="Times New Roman" w:cs="Times New Roman"/>
          <w:color w:val="FF0000"/>
          <w:kern w:val="0"/>
          <w:sz w:val="24"/>
          <w:szCs w:val="24"/>
          <w:lang w:val="zh-CN"/>
        </w:rPr>
        <w:t>电器火灾</w:t>
      </w:r>
      <w:r>
        <w:rPr>
          <w:rFonts w:hint="eastAsia" w:ascii="Times New Roman" w:hAnsi="Times New Roman" w:cs="Times New Roman"/>
          <w:color w:val="FF0000"/>
          <w:kern w:val="0"/>
          <w:sz w:val="24"/>
          <w:szCs w:val="24"/>
          <w:lang w:val="en-US" w:eastAsia="zh-CN"/>
        </w:rPr>
        <w:t>;</w:t>
      </w:r>
      <w:r>
        <w:rPr>
          <w:rFonts w:ascii="Times New Roman" w:hAnsi="Times New Roman" w:cs="Times New Roman"/>
          <w:color w:val="FF0000"/>
          <w:kern w:val="0"/>
          <w:sz w:val="24"/>
          <w:szCs w:val="24"/>
          <w:lang w:val="zh-CN"/>
        </w:rPr>
        <w:t>人员中毒</w:t>
      </w:r>
      <w:r>
        <w:rPr>
          <w:rFonts w:hint="eastAsia" w:ascii="Times New Roman" w:hAnsi="Times New Roman" w:cs="Times New Roman"/>
          <w:color w:val="FF0000"/>
          <w:kern w:val="0"/>
          <w:sz w:val="24"/>
          <w:szCs w:val="24"/>
          <w:lang w:val="en-US" w:eastAsia="zh-CN"/>
        </w:rPr>
        <w:t>;</w:t>
      </w:r>
      <w:r>
        <w:rPr>
          <w:rFonts w:ascii="Times New Roman" w:hAnsi="Times New Roman" w:cs="Times New Roman"/>
          <w:color w:val="FF0000"/>
          <w:kern w:val="0"/>
          <w:sz w:val="24"/>
          <w:szCs w:val="24"/>
          <w:lang w:val="zh-CN"/>
        </w:rPr>
        <w:t>混油</w:t>
      </w:r>
      <w:r>
        <w:rPr>
          <w:rFonts w:hint="eastAsia" w:ascii="Times New Roman" w:hAnsi="Times New Roman" w:cs="Times New Roman"/>
          <w:color w:val="FF0000"/>
          <w:kern w:val="0"/>
          <w:sz w:val="24"/>
          <w:szCs w:val="24"/>
          <w:lang w:val="en-US" w:eastAsia="zh-CN"/>
        </w:rPr>
        <w:t>;危废污染及火灾爆炸时本预案开始启动。本预案涉及的时间要害部位、关键装置、储存设施、输送管线、在工作场所内的运输油品的汽车等交通工具发生的以上各类事件。当时太扩大，加油站应急小组无法控制且危及应急人员生命安全时，应立即指挥现场全部人员撤离至安全区域警戒，等待分公司应急指挥中心和政府救援机构的到来，配合好抢险工作。</w:t>
      </w:r>
    </w:p>
    <w:p>
      <w:pPr>
        <w:keepNext/>
        <w:keepLines/>
        <w:spacing w:before="240" w:after="240" w:line="500" w:lineRule="exact"/>
        <w:jc w:val="left"/>
        <w:outlineLvl w:val="2"/>
        <w:rPr>
          <w:rFonts w:ascii="Times New Roman" w:hAnsi="Times New Roman" w:cs="Times New Roman"/>
          <w:b/>
          <w:color w:val="000000" w:themeColor="text1"/>
          <w:sz w:val="24"/>
          <w:szCs w:val="24"/>
        </w:rPr>
      </w:pPr>
      <w:bookmarkStart w:id="693" w:name="_Toc20596_WPSOffice_Level3"/>
      <w:bookmarkStart w:id="694" w:name="_Toc27314_WPSOffice_Level3"/>
      <w:bookmarkStart w:id="695" w:name="_Toc8333_WPSOffice_Level3"/>
      <w:bookmarkStart w:id="696" w:name="_Toc18070_WPSOffice_Level3"/>
      <w:bookmarkStart w:id="697" w:name="_Toc23529"/>
      <w:bookmarkStart w:id="698" w:name="_Toc19845"/>
      <w:bookmarkStart w:id="699" w:name="_Toc23370_WPSOffice_Level3"/>
      <w:bookmarkStart w:id="700" w:name="_Toc2543"/>
      <w:bookmarkStart w:id="701" w:name="_Toc8296"/>
      <w:r>
        <w:rPr>
          <w:rFonts w:ascii="Times New Roman" w:hAnsi="Times New Roman" w:cs="Times New Roman"/>
          <w:b/>
          <w:color w:val="000000" w:themeColor="text1"/>
          <w:sz w:val="24"/>
          <w:szCs w:val="24"/>
        </w:rPr>
        <w:t>7.3.</w:t>
      </w:r>
      <w:r>
        <w:rPr>
          <w:rFonts w:hint="eastAsia" w:ascii="Times New Roman" w:hAnsi="Times New Roman" w:cs="Times New Roman"/>
          <w:b/>
          <w:color w:val="000000" w:themeColor="text1"/>
          <w:sz w:val="24"/>
          <w:szCs w:val="24"/>
          <w:lang w:val="en-US" w:eastAsia="zh-CN"/>
        </w:rPr>
        <w:t>2</w:t>
      </w:r>
      <w:r>
        <w:rPr>
          <w:rFonts w:ascii="Times New Roman" w:hAnsi="Times New Roman" w:cs="Times New Roman"/>
          <w:b/>
          <w:color w:val="000000" w:themeColor="text1"/>
          <w:sz w:val="24"/>
          <w:szCs w:val="24"/>
        </w:rPr>
        <w:t xml:space="preserve"> 作业现场、油罐区跑、冒、滴、漏应急处理</w:t>
      </w:r>
      <w:bookmarkEnd w:id="693"/>
      <w:bookmarkEnd w:id="694"/>
      <w:bookmarkEnd w:id="695"/>
      <w:bookmarkEnd w:id="696"/>
      <w:bookmarkEnd w:id="697"/>
      <w:bookmarkEnd w:id="698"/>
      <w:bookmarkEnd w:id="699"/>
      <w:bookmarkEnd w:id="700"/>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1</w:t>
      </w:r>
      <w:r>
        <w:rPr>
          <w:rFonts w:ascii="Times New Roman" w:hAnsi="Times New Roman" w:cs="Times New Roman"/>
          <w:b/>
          <w:color w:val="000000" w:themeColor="text1"/>
          <w:kern w:val="0"/>
          <w:sz w:val="24"/>
          <w:szCs w:val="24"/>
          <w:lang w:val="zh-CN"/>
        </w:rPr>
        <w:t>）处理措施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1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①</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 xml:space="preserve"> 事故发现者马上关闭油罐闸阀和罐车阀门，并切断站内电源开关，同时通知值班经理。</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2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②</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 xml:space="preserve"> 如跑、冒、漏出的油品数量较少，则值班经理组织站内应急组对现场已跑、冒、漏出的油品用沙土覆盖，待油品被充分吸收后将附有油迹的沙土放至指定的场所进行专业处理。</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3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③</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对跑、冒、漏出的油品数量较多时，视情况按响警铃及停止营业，对现场实施监控，全站进入戒备状态，严禁现场所有危害行为。值班经理组织应急组用沙土将油品团团围住，防止油品进一步外溢，后勤保障岗位取来消防器材放至事故现场，作好警戒、疏散工作，其他岗位按职责分工作业。加油现场车辆全部推出。</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4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④</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对能够回收的油品，由值班经理安排应急组用不产生静电的容器进行回收。</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5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⑤</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回收后，对无法回收的油品用沙土覆盖其表面，待其充分被吸收后将沙土清除干净，待油品被充分吸收后将附有油迹的沙土放至指定的场所进行专业处理。</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6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⑥</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 xml:space="preserve"> 如果量油口冒油，值班经理安排人员先将操作井周围用沙土围住，并取来消防器材放至周围，用不产生静电的容器将操作井内的油品进行回收到专业容器中，待沉淀2—10小时后，上层净油进行回罐，有杂质的油品放至专业场所进行专业处理。</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7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⑦</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检查人孔操作井内及周围是否有残留油液，并检查是否有其他可能产生危险的隐患存在。</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8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⑧</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确认无误后，随即仔细查找跑、冒、漏油的事故根源，酌情处理：如属于计量失误，罐内油品数量已达到最大安全容量，须停止继续卸油作业。同时上报安全主管部门、联系公司总调度，由总调度安排将罐车内未卸完的油品进行移站处理；如属于管线与接卸油闸阀未密闭而造成的跑、冒、漏油应重新对管线进行连接，确保其密闭完好性。然后开启接卸油闸阀继续进行接卸油作业。如管线破损可用木楔、棉纱、纯棉拖把抹布等进行堵塞。</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2</w:t>
      </w:r>
      <w:r>
        <w:rPr>
          <w:rFonts w:ascii="Times New Roman" w:hAnsi="Times New Roman" w:cs="Times New Roman"/>
          <w:b/>
          <w:color w:val="000000" w:themeColor="text1"/>
          <w:kern w:val="0"/>
          <w:sz w:val="24"/>
          <w:szCs w:val="24"/>
          <w:lang w:val="zh-CN"/>
        </w:rPr>
        <w:t>）隔离疏散</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跑、冒、漏油事故严重时，马上关闭站内电源开关停止加油作业。并报告公安、消防部门，以便及时封堵附近的交通道路。加油站负责人及时组织人员进行现场警戒，疏散站内人员，推出站内车辆，检查并清除附近的一切火源、电源，禁止其他人员及车辆进入站内。并通知毗邻单位或居民，注意危险，禁用火种。</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3</w:t>
      </w:r>
      <w:r>
        <w:rPr>
          <w:rFonts w:ascii="Times New Roman" w:hAnsi="Times New Roman" w:cs="Times New Roman"/>
          <w:b/>
          <w:color w:val="000000" w:themeColor="text1"/>
          <w:kern w:val="0"/>
          <w:sz w:val="24"/>
          <w:szCs w:val="24"/>
          <w:lang w:val="zh-CN"/>
        </w:rPr>
        <w:t>）现场急救</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如在事故处理过程当中，有人员被油品沾染浸湿的时候，马上进行防火处理：夏天应立即用清水冲洗，更换衣物，避免附着在身体及衣物上的油品大量挥发成油蒸气从而引发明火，烧伤人员；冬天应脱下被浸湿的外套、鞋袜等衣物，过程中注意动作缓慢，以防产生静电和皮肤中毒，并及时更换衣服。</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4</w:t>
      </w:r>
      <w:r>
        <w:rPr>
          <w:rFonts w:ascii="Times New Roman" w:hAnsi="Times New Roman" w:cs="Times New Roman"/>
          <w:b/>
          <w:color w:val="000000" w:themeColor="text1"/>
          <w:kern w:val="0"/>
          <w:sz w:val="24"/>
          <w:szCs w:val="24"/>
          <w:lang w:val="zh-CN"/>
        </w:rPr>
        <w:t>）注意事项</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在处理事故的同时，首先应保证绝对禁止产生明火、静电的行为。其次，对充分吸收了油品的沙土要严格按照规定进行放置、处理，以免造成环境污染和额外事故。事故发生后，必须依照“四不放过”原则，对事故认真分析、调查，并对事故责任人进行追究、对群众进行教育。</w:t>
      </w:r>
    </w:p>
    <w:p>
      <w:pPr>
        <w:keepNext/>
        <w:keepLines/>
        <w:spacing w:before="240" w:after="240" w:line="500" w:lineRule="exact"/>
        <w:jc w:val="left"/>
        <w:outlineLvl w:val="2"/>
        <w:rPr>
          <w:rFonts w:ascii="Times New Roman" w:hAnsi="Times New Roman" w:cs="Times New Roman"/>
          <w:b/>
          <w:color w:val="000000" w:themeColor="text1"/>
          <w:sz w:val="24"/>
          <w:szCs w:val="24"/>
        </w:rPr>
      </w:pPr>
      <w:bookmarkStart w:id="702" w:name="_Toc16182_WPSOffice_Level3"/>
      <w:bookmarkStart w:id="703" w:name="_Toc27528_WPSOffice_Level3"/>
      <w:bookmarkStart w:id="704" w:name="_Toc29406_WPSOffice_Level3"/>
      <w:bookmarkStart w:id="705" w:name="_Toc5706_WPSOffice_Level3"/>
      <w:bookmarkStart w:id="706" w:name="_Toc29892_WPSOffice_Level3"/>
      <w:bookmarkStart w:id="707" w:name="_Toc17114"/>
      <w:bookmarkStart w:id="708" w:name="_Toc23854"/>
      <w:bookmarkStart w:id="709" w:name="_Toc16069"/>
      <w:r>
        <w:rPr>
          <w:rFonts w:ascii="Times New Roman" w:hAnsi="Times New Roman" w:cs="Times New Roman"/>
          <w:b/>
          <w:color w:val="000000" w:themeColor="text1"/>
          <w:sz w:val="24"/>
          <w:szCs w:val="24"/>
        </w:rPr>
        <w:t>7.3.</w:t>
      </w:r>
      <w:r>
        <w:rPr>
          <w:rFonts w:hint="eastAsia" w:ascii="Times New Roman" w:hAnsi="Times New Roman" w:cs="Times New Roman"/>
          <w:b/>
          <w:color w:val="000000" w:themeColor="text1"/>
          <w:sz w:val="24"/>
          <w:szCs w:val="24"/>
          <w:lang w:val="en-US" w:eastAsia="zh-CN"/>
        </w:rPr>
        <w:t>3</w:t>
      </w:r>
      <w:r>
        <w:rPr>
          <w:rFonts w:ascii="Times New Roman" w:hAnsi="Times New Roman" w:cs="Times New Roman"/>
          <w:b/>
          <w:color w:val="000000" w:themeColor="text1"/>
          <w:sz w:val="24"/>
          <w:szCs w:val="24"/>
        </w:rPr>
        <w:t xml:space="preserve"> 加油、卸油现场火灾应急处理</w:t>
      </w:r>
      <w:bookmarkEnd w:id="702"/>
      <w:bookmarkEnd w:id="703"/>
      <w:bookmarkEnd w:id="704"/>
      <w:bookmarkEnd w:id="705"/>
      <w:bookmarkEnd w:id="706"/>
      <w:bookmarkEnd w:id="707"/>
      <w:bookmarkEnd w:id="708"/>
      <w:bookmarkEnd w:id="709"/>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1</w:t>
      </w:r>
      <w:r>
        <w:rPr>
          <w:rFonts w:ascii="Times New Roman" w:hAnsi="Times New Roman" w:cs="Times New Roman"/>
          <w:b/>
          <w:color w:val="000000" w:themeColor="text1"/>
          <w:kern w:val="0"/>
          <w:sz w:val="24"/>
          <w:szCs w:val="24"/>
          <w:lang w:val="zh-CN"/>
        </w:rPr>
        <w:t>）处理措施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1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①</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事故发现者马上关闭油罐闸阀和罐车阀门，并通知值班经理。油站报警联络员及时按响警铃，应急组岗位人员在第一时间赶到现场，尽力扑灭初期火灾。</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2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②</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值班经理要根据火势进行灭火指挥，当初期小火时，周边员工及驾驶员可迅速使用加油岛、卸油区放置的</w:t>
      </w:r>
      <w:r>
        <w:rPr>
          <w:rFonts w:hint="eastAsia" w:ascii="Times New Roman" w:hAnsi="Times New Roman" w:cs="Times New Roman"/>
          <w:color w:val="000000" w:themeColor="text1"/>
          <w:kern w:val="0"/>
          <w:sz w:val="24"/>
          <w:szCs w:val="24"/>
          <w:lang w:val="zh-CN"/>
        </w:rPr>
        <w:t>100kg</w:t>
      </w:r>
      <w:r>
        <w:rPr>
          <w:rFonts w:ascii="Times New Roman" w:hAnsi="Times New Roman" w:cs="Times New Roman"/>
          <w:color w:val="000000" w:themeColor="text1"/>
          <w:kern w:val="0"/>
          <w:sz w:val="24"/>
          <w:szCs w:val="24"/>
          <w:lang w:val="zh-CN"/>
        </w:rPr>
        <w:t>手推式灭火器和消防沙、消防毯等进行灭火。如火势扩大，后勤保障组员工及时取来</w:t>
      </w:r>
      <w:r>
        <w:rPr>
          <w:rFonts w:ascii="Times New Roman" w:hAnsi="Times New Roman" w:cs="Times New Roman"/>
          <w:color w:val="000000" w:themeColor="text1"/>
          <w:kern w:val="0"/>
          <w:sz w:val="24"/>
          <w:szCs w:val="24"/>
        </w:rPr>
        <w:t>4</w:t>
      </w:r>
      <w:r>
        <w:rPr>
          <w:rFonts w:ascii="Times New Roman" w:hAnsi="Times New Roman" w:cs="Times New Roman"/>
          <w:color w:val="000000" w:themeColor="text1"/>
          <w:kern w:val="0"/>
          <w:sz w:val="24"/>
          <w:szCs w:val="24"/>
          <w:lang w:val="zh-CN"/>
        </w:rPr>
        <w:t>kg手提式灭火器参加扑救。</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3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③</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值班经理指派当班应急组员维持站内加油车辆及人员的秩序（必要时进行疏散），核算员视火势扑救情况报火警，并将现金、账簿和重要凭证放至保险柜后参加扑救工作。</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4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④</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如火势继续扩大，灭火器无法扑灭，值班经理应该组织应急组员工撤离到消防栓处，连接好消防水带，用消防水枪远距离控制火势，以免造成人员烧伤。</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5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⑤</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如火势已到不可控制的局面，值班经理应马上组织全体人员撤离火场，禁止任何人员、车辆进入加油站并立即疏散人群，指挥车辆撤离现场，并在站外安全区域等候消防车辆及消防人员的进场。</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6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⑥</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在消防灭火的同时，首先应保证自己的人身安全。当消防队赶到现场后，与消防队共同灭火，消防队按照灭火预定预案进行灭火。</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7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⑦</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火灾扑灭后，迅速将有关情况上报安全主管部门。</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2</w:t>
      </w:r>
      <w:r>
        <w:rPr>
          <w:rFonts w:ascii="Times New Roman" w:hAnsi="Times New Roman" w:cs="Times New Roman"/>
          <w:b/>
          <w:color w:val="000000" w:themeColor="text1"/>
          <w:kern w:val="0"/>
          <w:sz w:val="24"/>
          <w:szCs w:val="24"/>
          <w:lang w:val="zh-CN"/>
        </w:rPr>
        <w:t>）紧急处理措施及隔离疏散</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当发生火灾时，要保持镇定。视火情大小：火情小时，现场指挥要立即组织应急组人员对火势进行控制，尽快灭火。火势大到无法扑灭时，全体人员应迅速撤离到安全区域并保证自身安全，并由现场指挥清点人数。</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3</w:t>
      </w:r>
      <w:r>
        <w:rPr>
          <w:rFonts w:ascii="Times New Roman" w:hAnsi="Times New Roman" w:cs="Times New Roman"/>
          <w:b/>
          <w:color w:val="000000" w:themeColor="text1"/>
          <w:kern w:val="0"/>
          <w:sz w:val="24"/>
          <w:szCs w:val="24"/>
          <w:lang w:val="zh-CN"/>
        </w:rPr>
        <w:t>）现场急救</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发现火灾现场有人中毒窒息或烧伤时，立即抢救至空气新鲜的安全地带，如呼吸停止应立即实施人工呼吸。烧伤人员应注意保护创面并防止二次受伤，如有外伤流血应立即包扎。待医院急救中心人员赶到后作进一步处理。</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4</w:t>
      </w:r>
      <w:r>
        <w:rPr>
          <w:rFonts w:ascii="Times New Roman" w:hAnsi="Times New Roman" w:cs="Times New Roman"/>
          <w:b/>
          <w:color w:val="000000" w:themeColor="text1"/>
          <w:kern w:val="0"/>
          <w:sz w:val="24"/>
          <w:szCs w:val="24"/>
          <w:lang w:val="zh-CN"/>
        </w:rPr>
        <w:t>）注意事项</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发生跑冒油品时不准立即启动车辆；在上风处布置好消防器材；检查附近火源并消除；禁止使用易产生火花的铁器进行回收作业；警戒疏散组人员负责通知附近单位和居民注意危险。事故发生后，必须依照“四不放过”原则，对事故认真分析、调查，并对事故责任人进行追究、对群众进行教育。</w:t>
      </w:r>
    </w:p>
    <w:p>
      <w:pPr>
        <w:keepNext/>
        <w:keepLines/>
        <w:spacing w:before="240" w:after="240" w:line="500" w:lineRule="exact"/>
        <w:jc w:val="left"/>
        <w:outlineLvl w:val="2"/>
        <w:rPr>
          <w:rFonts w:ascii="Times New Roman" w:hAnsi="Times New Roman" w:cs="Times New Roman"/>
          <w:b/>
          <w:color w:val="000000" w:themeColor="text1"/>
          <w:sz w:val="24"/>
          <w:szCs w:val="24"/>
        </w:rPr>
      </w:pPr>
      <w:bookmarkStart w:id="710" w:name="_Toc1017"/>
      <w:bookmarkStart w:id="711" w:name="_Toc21585_WPSOffice_Level3"/>
      <w:bookmarkStart w:id="712" w:name="_Toc27359"/>
      <w:bookmarkStart w:id="713" w:name="_Toc28887"/>
      <w:bookmarkStart w:id="714" w:name="_Toc18540_WPSOffice_Level3"/>
      <w:bookmarkStart w:id="715" w:name="_Toc31344_WPSOffice_Level3"/>
      <w:bookmarkStart w:id="716" w:name="_Toc8539_WPSOffice_Level3"/>
      <w:bookmarkStart w:id="717" w:name="_Toc30790_WPSOffice_Level3"/>
      <w:r>
        <w:rPr>
          <w:rFonts w:ascii="Times New Roman" w:hAnsi="Times New Roman" w:cs="Times New Roman"/>
          <w:b/>
          <w:color w:val="000000" w:themeColor="text1"/>
          <w:sz w:val="24"/>
          <w:szCs w:val="24"/>
        </w:rPr>
        <w:t>7.3.</w:t>
      </w:r>
      <w:r>
        <w:rPr>
          <w:rFonts w:hint="eastAsia" w:ascii="Times New Roman" w:hAnsi="Times New Roman" w:cs="Times New Roman"/>
          <w:b/>
          <w:color w:val="000000" w:themeColor="text1"/>
          <w:sz w:val="24"/>
          <w:szCs w:val="24"/>
          <w:lang w:val="en-US" w:eastAsia="zh-CN"/>
        </w:rPr>
        <w:t>4</w:t>
      </w:r>
      <w:r>
        <w:rPr>
          <w:rFonts w:ascii="Times New Roman" w:hAnsi="Times New Roman" w:cs="Times New Roman"/>
          <w:b/>
          <w:color w:val="000000" w:themeColor="text1"/>
          <w:sz w:val="24"/>
          <w:szCs w:val="24"/>
        </w:rPr>
        <w:t>车辆火灾应急处理</w:t>
      </w:r>
      <w:bookmarkEnd w:id="710"/>
      <w:bookmarkEnd w:id="711"/>
      <w:bookmarkEnd w:id="712"/>
      <w:bookmarkEnd w:id="713"/>
      <w:bookmarkEnd w:id="714"/>
      <w:bookmarkEnd w:id="715"/>
      <w:bookmarkEnd w:id="716"/>
      <w:bookmarkEnd w:id="717"/>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1</w:t>
      </w:r>
      <w:r>
        <w:rPr>
          <w:rFonts w:ascii="Times New Roman" w:hAnsi="Times New Roman" w:cs="Times New Roman"/>
          <w:b/>
          <w:color w:val="000000" w:themeColor="text1"/>
          <w:kern w:val="0"/>
          <w:sz w:val="24"/>
          <w:szCs w:val="24"/>
          <w:lang w:val="zh-CN"/>
        </w:rPr>
        <w:t>）处理措施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1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①</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发生车辆着火时，应立即停止加油或卸油作业。</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2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②</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事故发现者马上取来加油岛上的手提式灭火器，对准车辆着火部位进行喷射，当班加油员马上通知值班经理前来现场指挥、决策，同时核算员马上报火警。</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3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③</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如火势扩大，其他员工应立即取来其他加油岛手提式灭火器以及</w:t>
      </w:r>
      <w:r>
        <w:rPr>
          <w:rFonts w:hint="eastAsia" w:ascii="Times New Roman" w:hAnsi="Times New Roman" w:cs="Times New Roman"/>
          <w:color w:val="000000" w:themeColor="text1"/>
          <w:kern w:val="0"/>
          <w:sz w:val="24"/>
          <w:szCs w:val="24"/>
          <w:lang w:val="zh-CN"/>
        </w:rPr>
        <w:t>100kg</w:t>
      </w:r>
      <w:r>
        <w:rPr>
          <w:rFonts w:ascii="Times New Roman" w:hAnsi="Times New Roman" w:cs="Times New Roman"/>
          <w:color w:val="000000" w:themeColor="text1"/>
          <w:kern w:val="0"/>
          <w:sz w:val="24"/>
          <w:szCs w:val="24"/>
          <w:lang w:val="zh-CN"/>
        </w:rPr>
        <w:t>手推式灭火器参加应急。</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4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④</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如火势继续扩大，灭火器无法减轻火势或扑灭时，值班经理应马上组织人员取来水枪、水带，连接好管线，使用消防水枪远距离控制火势，及早扑灭大火同时避免人员造成伤亡。如果大火无法扑灭，人员应立即撤离至安全地带。</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5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⑤</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在消防灭火的同时，首先应保证自己的人身安全。</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6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⑥</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火灾扑灭后，迅速将有关情况上报安全主管部门。并将损坏车辆推至离加油机或油罐较远的安全地带，以免引起站内油品着火。</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7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⑦</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对于事故起因明确的情况下，加油站经理在公平、公正地原则下调查、了解事故原因，分清责任后作出处理意见：若是驾驶员自身造成的事故，要求该驾驶员对加油站所损坏的设备、物品以及消耗的灭火器材进行赔偿；若是由本站员工操作失误或违章操作造成的事故，则应由当事人承担事故责任并对双方损失进行赔偿。</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8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⑧</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在事故起因不明确的情况下，应上报上级安全主管部门，听候处理意见。若须对事故进行技术鉴定、分析时，应积极配合相关部门人员进行调查。</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9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⑨</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在消防灭火的同时，首先应保证自己的人身安全。当消防队赶到现场后，与消防队共同灭火，消防队按照灭火预定预案进行灭火。</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2</w:t>
      </w:r>
      <w:r>
        <w:rPr>
          <w:rFonts w:ascii="Times New Roman" w:hAnsi="Times New Roman" w:cs="Times New Roman"/>
          <w:b/>
          <w:color w:val="000000" w:themeColor="text1"/>
          <w:kern w:val="0"/>
          <w:sz w:val="24"/>
          <w:szCs w:val="24"/>
          <w:lang w:val="zh-CN"/>
        </w:rPr>
        <w:t>）紧急处理措施及隔离疏散</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当发生火灾时，要保持镇定。视火情大小：火情小时，现场指挥要立即组织人员对火势进行控制，尽快灭火。火势大时，人员应迅速撤离并保证自身安全。</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3</w:t>
      </w:r>
      <w:r>
        <w:rPr>
          <w:rFonts w:ascii="Times New Roman" w:hAnsi="Times New Roman" w:cs="Times New Roman"/>
          <w:b/>
          <w:color w:val="000000" w:themeColor="text1"/>
          <w:kern w:val="0"/>
          <w:sz w:val="24"/>
          <w:szCs w:val="24"/>
          <w:lang w:val="zh-CN"/>
        </w:rPr>
        <w:t>）现场急救</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发现火灾现场有人中毒窒息或烧伤时，立即抢救至空气新鲜的安全地带，如呼吸停止应立即实施人工呼吸。烧伤人员应注意保护创面并防止二次受伤，如有外伤流血应立即包扎。待医院急救中心人员赶到后作进一步处理。</w:t>
      </w:r>
    </w:p>
    <w:p>
      <w:pPr>
        <w:keepNext/>
        <w:keepLines/>
        <w:spacing w:before="240" w:after="240" w:line="500" w:lineRule="exact"/>
        <w:jc w:val="left"/>
        <w:outlineLvl w:val="2"/>
        <w:rPr>
          <w:rFonts w:ascii="Times New Roman" w:hAnsi="Times New Roman" w:cs="Times New Roman"/>
          <w:b/>
          <w:color w:val="000000" w:themeColor="text1"/>
          <w:sz w:val="24"/>
          <w:szCs w:val="24"/>
        </w:rPr>
      </w:pPr>
      <w:bookmarkStart w:id="718" w:name="_Toc19267_WPSOffice_Level3"/>
      <w:bookmarkStart w:id="719" w:name="_Toc311902763"/>
      <w:bookmarkStart w:id="720" w:name="_Toc26028_WPSOffice_Level3"/>
      <w:bookmarkStart w:id="721" w:name="_Toc12319"/>
      <w:bookmarkStart w:id="722" w:name="_Toc31082"/>
      <w:bookmarkStart w:id="723" w:name="_Toc1279_WPSOffice_Level3"/>
      <w:bookmarkStart w:id="724" w:name="_Toc29914_WPSOffice_Level3"/>
      <w:bookmarkStart w:id="725" w:name="_Toc26783_WPSOffice_Level3"/>
      <w:bookmarkStart w:id="726" w:name="_Toc438"/>
      <w:r>
        <w:rPr>
          <w:rFonts w:ascii="Times New Roman" w:hAnsi="Times New Roman" w:cs="Times New Roman"/>
          <w:b/>
          <w:color w:val="000000" w:themeColor="text1"/>
          <w:sz w:val="24"/>
          <w:szCs w:val="24"/>
        </w:rPr>
        <w:t>7.3.</w:t>
      </w:r>
      <w:r>
        <w:rPr>
          <w:rFonts w:hint="eastAsia" w:ascii="Times New Roman" w:hAnsi="Times New Roman" w:cs="Times New Roman"/>
          <w:b/>
          <w:color w:val="000000" w:themeColor="text1"/>
          <w:sz w:val="24"/>
          <w:szCs w:val="24"/>
          <w:lang w:val="en-US" w:eastAsia="zh-CN"/>
        </w:rPr>
        <w:t xml:space="preserve">5 </w:t>
      </w:r>
      <w:r>
        <w:rPr>
          <w:rFonts w:ascii="Times New Roman" w:hAnsi="Times New Roman" w:cs="Times New Roman"/>
          <w:b/>
          <w:color w:val="000000" w:themeColor="text1"/>
          <w:sz w:val="24"/>
          <w:szCs w:val="24"/>
        </w:rPr>
        <w:t>电器火灾应急处理</w:t>
      </w:r>
      <w:bookmarkEnd w:id="718"/>
      <w:bookmarkEnd w:id="719"/>
      <w:bookmarkEnd w:id="720"/>
      <w:bookmarkEnd w:id="721"/>
      <w:bookmarkEnd w:id="722"/>
      <w:bookmarkEnd w:id="723"/>
      <w:bookmarkEnd w:id="724"/>
      <w:bookmarkEnd w:id="725"/>
      <w:bookmarkEnd w:id="726"/>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1</w:t>
      </w:r>
      <w:r>
        <w:rPr>
          <w:rFonts w:ascii="Times New Roman" w:hAnsi="Times New Roman" w:cs="Times New Roman"/>
          <w:b/>
          <w:color w:val="000000" w:themeColor="text1"/>
          <w:kern w:val="0"/>
          <w:sz w:val="24"/>
          <w:szCs w:val="24"/>
          <w:lang w:val="zh-CN"/>
        </w:rPr>
        <w:t>）处理措施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1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①</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发生电器火灾时，发现者马上取来离火场最近的手提式灭火器进行扑救。同时，大声疾呼，通知值班经理。</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2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②</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值班经理指派专人迅速跑至配电房切断电源。取来配电间放置的手提式二氧化碳灭火器或干粉灭火器，迅速回到火场并组织当班人员前来扑救。值班经理视如为二次配电则及时切断本站电源总闸，如是一次配电点着火，则与当地供电所联系，及时停止供电</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3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③</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当班加油员和营业人员把火源周围的重要物品及可能引发更大火灾的可燃、易燃物移至安全地带。加油站经理指挥其他当班人员进行有效扑救，直到火情被完全控制。此时若火灾尚未扑灭，营业人员马上通知消防队前来救援。</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4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④</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如火势继续扩大，用灭火器无法减轻或扑灭火势时，应将加油机、储油罐的量油口进行密闭处理，再疏散站内加油车辆、人员，禁止任何车辆、人员进站。</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5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⑤</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如火势已到不可控制的局面，值班经理应马上组织人员撤离现场，并等候消防车辆及消防人员的进场。</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6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⑥</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火灾扑灭后，迅速将有关情况上报安全主管部门。</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7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⑦</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加油站负责人速派专业维修人员到站对电气线路进行维修，恢复其正常的生产、生活。</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2</w:t>
      </w:r>
      <w:r>
        <w:rPr>
          <w:rFonts w:ascii="Times New Roman" w:hAnsi="Times New Roman" w:cs="Times New Roman"/>
          <w:b/>
          <w:color w:val="000000" w:themeColor="text1"/>
          <w:kern w:val="0"/>
          <w:sz w:val="24"/>
          <w:szCs w:val="24"/>
          <w:lang w:val="zh-CN"/>
        </w:rPr>
        <w:t>）注意事项</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在消防灭火的同时，首先应保证自己的人身安全。当消防队赶到现场后，与消防队共同灭火，消防队按照灭火预定预案进行灭火。</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3</w:t>
      </w:r>
      <w:r>
        <w:rPr>
          <w:rFonts w:ascii="Times New Roman" w:hAnsi="Times New Roman" w:cs="Times New Roman"/>
          <w:b/>
          <w:color w:val="000000" w:themeColor="text1"/>
          <w:kern w:val="0"/>
          <w:sz w:val="24"/>
          <w:szCs w:val="24"/>
          <w:lang w:val="zh-CN"/>
        </w:rPr>
        <w:t>）紧急处理措施及隔离疏散</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当发生火灾时，要保持镇定。视火情大小：火情小时，现场指挥要立即组织人员对火势进行控制，尽快灭火。火势大时，人员应迅速撤离并保证自身安全。</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4</w:t>
      </w:r>
      <w:r>
        <w:rPr>
          <w:rFonts w:ascii="Times New Roman" w:hAnsi="Times New Roman" w:cs="Times New Roman"/>
          <w:b/>
          <w:color w:val="000000" w:themeColor="text1"/>
          <w:kern w:val="0"/>
          <w:sz w:val="24"/>
          <w:szCs w:val="24"/>
          <w:lang w:val="zh-CN"/>
        </w:rPr>
        <w:t>）现场急救</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发现火灾现场有人中毒窒息或烧伤时，立即抢救至空气新鲜的安全地带，如呼吸停止应立即实施人工呼吸。烧伤人员应注意保护创面并防止二次受伤，如有外伤流血应立即包扎。待医院急救中心人员赶到后作进一步处理。</w:t>
      </w:r>
    </w:p>
    <w:p>
      <w:pPr>
        <w:keepNext/>
        <w:keepLines/>
        <w:spacing w:before="240" w:after="240" w:line="500" w:lineRule="exact"/>
        <w:jc w:val="left"/>
        <w:outlineLvl w:val="2"/>
        <w:rPr>
          <w:rFonts w:ascii="Times New Roman" w:hAnsi="Times New Roman" w:cs="Times New Roman"/>
          <w:b/>
          <w:color w:val="000000" w:themeColor="text1"/>
          <w:sz w:val="24"/>
          <w:szCs w:val="24"/>
        </w:rPr>
      </w:pPr>
      <w:bookmarkStart w:id="727" w:name="_Toc311902765"/>
      <w:bookmarkStart w:id="728" w:name="_Toc3206_WPSOffice_Level3"/>
      <w:bookmarkStart w:id="729" w:name="_Toc16426_WPSOffice_Level3"/>
      <w:bookmarkStart w:id="730" w:name="_Toc32046"/>
      <w:bookmarkStart w:id="731" w:name="_Toc383"/>
      <w:bookmarkStart w:id="732" w:name="_Toc6100"/>
      <w:bookmarkStart w:id="733" w:name="_Toc25446_WPSOffice_Level3"/>
      <w:bookmarkStart w:id="734" w:name="_Toc19541_WPSOffice_Level3"/>
      <w:bookmarkStart w:id="735" w:name="_Toc9325_WPSOffice_Level3"/>
      <w:r>
        <w:rPr>
          <w:rFonts w:ascii="Times New Roman" w:hAnsi="Times New Roman" w:cs="Times New Roman"/>
          <w:b/>
          <w:color w:val="000000" w:themeColor="text1"/>
          <w:sz w:val="24"/>
          <w:szCs w:val="24"/>
        </w:rPr>
        <w:t>7.3.</w:t>
      </w:r>
      <w:r>
        <w:rPr>
          <w:rFonts w:hint="eastAsia" w:ascii="Times New Roman" w:hAnsi="Times New Roman" w:cs="Times New Roman"/>
          <w:b/>
          <w:color w:val="000000" w:themeColor="text1"/>
          <w:sz w:val="24"/>
          <w:szCs w:val="24"/>
          <w:lang w:val="en-US" w:eastAsia="zh-CN"/>
        </w:rPr>
        <w:t>6</w:t>
      </w:r>
      <w:r>
        <w:rPr>
          <w:rFonts w:ascii="Times New Roman" w:hAnsi="Times New Roman" w:cs="Times New Roman"/>
          <w:b/>
          <w:color w:val="000000" w:themeColor="text1"/>
          <w:sz w:val="24"/>
          <w:szCs w:val="24"/>
        </w:rPr>
        <w:t>人员中毒应急</w:t>
      </w:r>
      <w:bookmarkEnd w:id="727"/>
      <w:r>
        <w:rPr>
          <w:rFonts w:ascii="Times New Roman" w:hAnsi="Times New Roman" w:cs="Times New Roman"/>
          <w:b/>
          <w:color w:val="000000" w:themeColor="text1"/>
          <w:sz w:val="24"/>
          <w:szCs w:val="24"/>
        </w:rPr>
        <w:t>处理</w:t>
      </w:r>
      <w:bookmarkEnd w:id="728"/>
      <w:bookmarkEnd w:id="729"/>
      <w:bookmarkEnd w:id="730"/>
      <w:bookmarkEnd w:id="731"/>
      <w:bookmarkEnd w:id="732"/>
      <w:bookmarkEnd w:id="733"/>
      <w:bookmarkEnd w:id="734"/>
      <w:bookmarkEnd w:id="735"/>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1</w:t>
      </w:r>
      <w:r>
        <w:rPr>
          <w:rFonts w:ascii="Times New Roman" w:hAnsi="Times New Roman" w:cs="Times New Roman"/>
          <w:b/>
          <w:color w:val="000000" w:themeColor="text1"/>
          <w:kern w:val="0"/>
          <w:sz w:val="24"/>
          <w:szCs w:val="24"/>
          <w:lang w:val="zh-CN"/>
        </w:rPr>
        <w:t>）处理措施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当发现人员中毒，应立即组织员工进行救助。首先要打急救电话120给附近的医院。在等待医生来之前按急诊常规处理原则进行处理，以维持生命及避免毒物继续作用。尽可能的弄清楚所接触的毒物的情况：毒物种类、数量等。准确告诉医生，让医生能及时抢救。</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hint="eastAsia" w:ascii="宋体" w:hAnsi="宋体" w:eastAsia="宋体" w:cs="宋体"/>
          <w:color w:val="000000" w:themeColor="text1"/>
          <w:kern w:val="0"/>
          <w:sz w:val="24"/>
          <w:szCs w:val="24"/>
          <w:lang w:val="zh-CN"/>
        </w:rPr>
        <w:t>⑴</w:t>
      </w:r>
      <w:r>
        <w:rPr>
          <w:rFonts w:ascii="Times New Roman" w:hAnsi="Times New Roman" w:cs="Times New Roman"/>
          <w:color w:val="000000" w:themeColor="text1"/>
          <w:kern w:val="0"/>
          <w:sz w:val="24"/>
          <w:szCs w:val="24"/>
          <w:lang w:val="zh-CN"/>
        </w:rPr>
        <w:t xml:space="preserve"> 死亡：</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hint="eastAsia" w:ascii="宋体" w:hAnsi="宋体" w:eastAsia="宋体" w:cs="宋体"/>
          <w:color w:val="000000" w:themeColor="text1"/>
          <w:kern w:val="0"/>
          <w:sz w:val="24"/>
          <w:szCs w:val="24"/>
          <w:lang w:val="zh-CN"/>
        </w:rPr>
        <w:t>①</w:t>
      </w:r>
      <w:r>
        <w:rPr>
          <w:rFonts w:ascii="Times New Roman" w:hAnsi="Times New Roman" w:cs="Times New Roman"/>
          <w:color w:val="000000" w:themeColor="text1"/>
          <w:kern w:val="0"/>
          <w:sz w:val="24"/>
          <w:szCs w:val="24"/>
          <w:lang w:val="zh-CN"/>
        </w:rPr>
        <w:t xml:space="preserve"> 当发现者初步确定受伤人员已经死亡，应立即组织站内人员封锁现场，禁止一切人员破坏现场，同时停止营业并拨打报警电话和急救电话，等待警察和医护人员的到达，证实人员的合法死亡性。</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hint="eastAsia" w:ascii="宋体" w:hAnsi="宋体" w:eastAsia="宋体" w:cs="宋体"/>
          <w:color w:val="000000" w:themeColor="text1"/>
          <w:kern w:val="0"/>
          <w:sz w:val="24"/>
          <w:szCs w:val="24"/>
          <w:lang w:val="zh-CN"/>
        </w:rPr>
        <w:t>②</w:t>
      </w:r>
      <w:r>
        <w:rPr>
          <w:rFonts w:ascii="Times New Roman" w:hAnsi="Times New Roman" w:cs="Times New Roman"/>
          <w:color w:val="000000" w:themeColor="text1"/>
          <w:kern w:val="0"/>
          <w:sz w:val="24"/>
          <w:szCs w:val="24"/>
          <w:lang w:val="zh-CN"/>
        </w:rPr>
        <w:t xml:space="preserve"> 上报上级安全主管部门，协助警察和医护人员的现场、后续工作。</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hint="eastAsia" w:ascii="宋体" w:hAnsi="宋体" w:eastAsia="宋体" w:cs="宋体"/>
          <w:color w:val="000000" w:themeColor="text1"/>
          <w:kern w:val="0"/>
          <w:sz w:val="24"/>
          <w:szCs w:val="24"/>
          <w:lang w:val="zh-CN"/>
        </w:rPr>
        <w:t>③</w:t>
      </w:r>
      <w:r>
        <w:rPr>
          <w:rFonts w:ascii="Times New Roman" w:hAnsi="Times New Roman" w:cs="Times New Roman"/>
          <w:color w:val="000000" w:themeColor="text1"/>
          <w:kern w:val="0"/>
          <w:sz w:val="24"/>
          <w:szCs w:val="24"/>
          <w:lang w:val="zh-CN"/>
        </w:rPr>
        <w:t xml:space="preserve"> 在救人的同时，应保护现场。当医护及公安人员赶到现场后，协助医护人员共同抢救，与公安人员积极合作。待妥善处理好事件后，向上级安全主管部门汇报，由领导协商医疗费用的承担金额及善后处理。</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2</w:t>
      </w:r>
      <w:r>
        <w:rPr>
          <w:rFonts w:ascii="Times New Roman" w:hAnsi="Times New Roman" w:cs="Times New Roman"/>
          <w:b/>
          <w:color w:val="000000" w:themeColor="text1"/>
          <w:kern w:val="0"/>
          <w:sz w:val="24"/>
          <w:szCs w:val="24"/>
          <w:lang w:val="zh-CN"/>
        </w:rPr>
        <w:t>）紧急处理措施及隔离疏散：</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当发生人员中毒时，要保持镇定，视伤情种类而进行急救。情况严重时，现场指挥要立即通知急救中心并组织人员稳住伤员，尽可能缓和中毒伤情。禁止无关人员破坏现场，禁止围观人员堵塞道路及进、出站口。</w:t>
      </w:r>
    </w:p>
    <w:p>
      <w:pPr>
        <w:keepNext/>
        <w:keepLines/>
        <w:spacing w:before="240" w:after="240" w:line="500" w:lineRule="exact"/>
        <w:jc w:val="left"/>
        <w:outlineLvl w:val="2"/>
        <w:rPr>
          <w:rFonts w:ascii="Times New Roman" w:hAnsi="Times New Roman" w:cs="Times New Roman"/>
          <w:b/>
          <w:color w:val="000000" w:themeColor="text1"/>
          <w:sz w:val="24"/>
          <w:szCs w:val="24"/>
        </w:rPr>
      </w:pPr>
      <w:bookmarkStart w:id="736" w:name="_Toc311902766"/>
      <w:bookmarkStart w:id="737" w:name="_Toc32717_WPSOffice_Level3"/>
      <w:bookmarkStart w:id="738" w:name="_Toc20073_WPSOffice_Level3"/>
      <w:bookmarkStart w:id="739" w:name="_Toc4447_WPSOffice_Level3"/>
      <w:bookmarkStart w:id="740" w:name="_Toc27623"/>
      <w:bookmarkStart w:id="741" w:name="_Toc6733_WPSOffice_Level3"/>
      <w:bookmarkStart w:id="742" w:name="_Toc24301"/>
      <w:bookmarkStart w:id="743" w:name="_Toc3337_WPSOffice_Level3"/>
      <w:bookmarkStart w:id="744" w:name="_Toc13925"/>
      <w:r>
        <w:rPr>
          <w:rFonts w:ascii="Times New Roman" w:hAnsi="Times New Roman" w:cs="Times New Roman"/>
          <w:b/>
          <w:color w:val="000000" w:themeColor="text1"/>
          <w:sz w:val="24"/>
          <w:szCs w:val="24"/>
        </w:rPr>
        <w:t>7.3.</w:t>
      </w:r>
      <w:r>
        <w:rPr>
          <w:rFonts w:hint="eastAsia" w:ascii="Times New Roman" w:hAnsi="Times New Roman" w:cs="Times New Roman"/>
          <w:b/>
          <w:color w:val="000000" w:themeColor="text1"/>
          <w:sz w:val="24"/>
          <w:szCs w:val="24"/>
          <w:lang w:val="en-US" w:eastAsia="zh-CN"/>
        </w:rPr>
        <w:t>7</w:t>
      </w:r>
      <w:r>
        <w:rPr>
          <w:rFonts w:ascii="Times New Roman" w:hAnsi="Times New Roman" w:cs="Times New Roman"/>
          <w:b/>
          <w:color w:val="000000" w:themeColor="text1"/>
          <w:sz w:val="24"/>
          <w:szCs w:val="24"/>
        </w:rPr>
        <w:t>混油应急</w:t>
      </w:r>
      <w:bookmarkEnd w:id="736"/>
      <w:r>
        <w:rPr>
          <w:rFonts w:ascii="Times New Roman" w:hAnsi="Times New Roman" w:cs="Times New Roman"/>
          <w:b/>
          <w:color w:val="000000" w:themeColor="text1"/>
          <w:sz w:val="24"/>
          <w:szCs w:val="24"/>
        </w:rPr>
        <w:t>处理</w:t>
      </w:r>
      <w:bookmarkEnd w:id="737"/>
      <w:bookmarkEnd w:id="738"/>
      <w:bookmarkEnd w:id="739"/>
      <w:bookmarkEnd w:id="740"/>
      <w:bookmarkEnd w:id="741"/>
      <w:bookmarkEnd w:id="742"/>
      <w:bookmarkEnd w:id="743"/>
      <w:bookmarkEnd w:id="744"/>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1</w:t>
      </w:r>
      <w:r>
        <w:rPr>
          <w:rFonts w:ascii="Times New Roman" w:hAnsi="Times New Roman" w:cs="Times New Roman"/>
          <w:b/>
          <w:color w:val="000000" w:themeColor="text1"/>
          <w:kern w:val="0"/>
          <w:sz w:val="24"/>
          <w:szCs w:val="24"/>
          <w:lang w:val="zh-CN"/>
        </w:rPr>
        <w:t>）处理措施：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1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①</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油站计量员及监卸员发现卸油时混油，应马上关闭罐车卸油口闸阀及罐区卸油口闸阀，停止卸油作业。</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2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②</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由计量员通知值班主管，由值班经理将事故上报上级安全主管部门，听候处理意见。</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3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③</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当班主管通知当班员工停止相应的加油机的加油作业，并向客户做出合理解释。</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4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④</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上级安全主管部门立即与油库取得联系，旋即派出空油罐车到站准备倒罐。</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5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⑤</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上级主管部门人员、油站值班经理及计量员同时对已混油数量进行计量并作好相应记录，公司维修人员携带抽油泵等工具到站参加倒罐工作。</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6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⑥</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抽出罐内混装油品后，应急组长依照公司指示安排对输油管线及加油机内的混装油品进行彻底清除。</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7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⑦</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事故处理完毕后，由公司业务管理部门监督、油站值班经理及计量员重新计量原罐车内尚未卸完的油品数量，按正常的卸油作业程序将剩余油品卸入倒空的油罐中。</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8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⑧</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计量油罐内的油品数量，如低于最低容量时，应报知在场的主管领导并随即联系公司调度室增运同种油品。</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9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⑨</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待增运的同种油品到站卸入罐中后，随即排除加油机管线内的空气，恢复正常的加油作业。</w:t>
      </w:r>
    </w:p>
    <w:p>
      <w:pPr>
        <w:spacing w:line="500" w:lineRule="exact"/>
        <w:ind w:firstLine="482" w:firstLineChars="200"/>
        <w:jc w:val="left"/>
        <w:rPr>
          <w:rFonts w:ascii="Times New Roman" w:hAnsi="Times New Roman" w:cs="Times New Roman"/>
          <w:b/>
          <w:color w:val="000000" w:themeColor="text1"/>
          <w:kern w:val="0"/>
          <w:sz w:val="24"/>
          <w:szCs w:val="24"/>
          <w:lang w:val="zh-CN"/>
        </w:rPr>
      </w:pPr>
      <w:r>
        <w:rPr>
          <w:rFonts w:ascii="Times New Roman" w:hAnsi="Times New Roman" w:cs="Times New Roman"/>
          <w:b/>
          <w:color w:val="000000" w:themeColor="text1"/>
          <w:kern w:val="0"/>
          <w:sz w:val="24"/>
          <w:szCs w:val="24"/>
          <w:lang w:val="zh-CN"/>
        </w:rPr>
        <w:t>（</w:t>
      </w:r>
      <w:r>
        <w:rPr>
          <w:rFonts w:ascii="Times New Roman" w:hAnsi="Times New Roman" w:cs="Times New Roman"/>
          <w:b/>
          <w:color w:val="000000" w:themeColor="text1"/>
          <w:kern w:val="0"/>
          <w:sz w:val="24"/>
          <w:szCs w:val="24"/>
        </w:rPr>
        <w:t>2</w:t>
      </w:r>
      <w:r>
        <w:rPr>
          <w:rFonts w:ascii="Times New Roman" w:hAnsi="Times New Roman" w:cs="Times New Roman"/>
          <w:b/>
          <w:color w:val="000000" w:themeColor="text1"/>
          <w:kern w:val="0"/>
          <w:sz w:val="24"/>
          <w:szCs w:val="24"/>
          <w:lang w:val="zh-CN"/>
        </w:rPr>
        <w:t>）注意事项</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事故期间，除停止与发生混油事故的油罐管线连接的加油机作业外，其他加油机在不影响处理事故的基础上必须维持正常的加油作业。事故发生后，必须依照“四不放过”原则，对事故认真分析、调查，并对事故责任人进行追究、对群众进行教育。</w:t>
      </w:r>
    </w:p>
    <w:p>
      <w:pPr>
        <w:keepNext/>
        <w:keepLines/>
        <w:spacing w:before="240" w:after="240" w:line="500" w:lineRule="exact"/>
        <w:jc w:val="left"/>
        <w:outlineLvl w:val="2"/>
        <w:rPr>
          <w:rFonts w:ascii="Times New Roman" w:hAnsi="Times New Roman" w:cs="Times New Roman"/>
          <w:b/>
          <w:color w:val="000000" w:themeColor="text1"/>
          <w:sz w:val="24"/>
          <w:szCs w:val="24"/>
          <w:lang w:val="zh-CN"/>
        </w:rPr>
      </w:pPr>
      <w:bookmarkStart w:id="745" w:name="_Toc18459_WPSOffice_Level3"/>
      <w:bookmarkStart w:id="746" w:name="_Toc22816"/>
      <w:bookmarkStart w:id="747" w:name="_Toc4239_WPSOffice_Level3"/>
      <w:bookmarkStart w:id="748" w:name="_Toc5225"/>
      <w:bookmarkStart w:id="749" w:name="_Toc21871_WPSOffice_Level3"/>
      <w:bookmarkStart w:id="750" w:name="_Toc9664_WPSOffice_Level3"/>
      <w:bookmarkStart w:id="751" w:name="_Toc29972_WPSOffice_Level3"/>
      <w:bookmarkStart w:id="752" w:name="_Toc19235"/>
      <w:r>
        <w:rPr>
          <w:rFonts w:ascii="Times New Roman" w:hAnsi="Times New Roman" w:cs="Times New Roman"/>
          <w:b/>
          <w:color w:val="000000" w:themeColor="text1"/>
          <w:sz w:val="24"/>
          <w:szCs w:val="24"/>
        </w:rPr>
        <w:t>7.3.</w:t>
      </w:r>
      <w:r>
        <w:rPr>
          <w:rFonts w:hint="eastAsia" w:ascii="Times New Roman" w:hAnsi="Times New Roman" w:cs="Times New Roman"/>
          <w:b/>
          <w:color w:val="000000" w:themeColor="text1"/>
          <w:sz w:val="24"/>
          <w:szCs w:val="24"/>
          <w:lang w:val="en-US" w:eastAsia="zh-CN"/>
        </w:rPr>
        <w:t>8</w:t>
      </w:r>
      <w:r>
        <w:rPr>
          <w:rFonts w:ascii="Times New Roman" w:hAnsi="Times New Roman" w:cs="Times New Roman"/>
          <w:b/>
          <w:color w:val="000000" w:themeColor="text1"/>
          <w:sz w:val="24"/>
          <w:szCs w:val="24"/>
          <w:lang w:val="zh-CN"/>
        </w:rPr>
        <w:t>危险废物污染防范措施</w:t>
      </w:r>
      <w:bookmarkEnd w:id="745"/>
      <w:bookmarkEnd w:id="746"/>
      <w:bookmarkEnd w:id="747"/>
      <w:bookmarkEnd w:id="748"/>
      <w:bookmarkEnd w:id="749"/>
      <w:bookmarkEnd w:id="750"/>
      <w:bookmarkEnd w:id="751"/>
      <w:bookmarkEnd w:id="752"/>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危险废物主要环境风险为管理不当导致未按规范存贮、运输过程发生事故对地表水体造成污染。为避免危险废物管理、运输等活动处置不当导致的环境风险，提出如下措施：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1</w:t>
      </w:r>
      <w:r>
        <w:rPr>
          <w:rFonts w:ascii="Times New Roman" w:hAnsi="Times New Roman" w:cs="Times New Roman"/>
          <w:color w:val="000000" w:themeColor="text1"/>
          <w:kern w:val="0"/>
          <w:sz w:val="24"/>
          <w:szCs w:val="24"/>
          <w:lang w:val="zh-CN"/>
        </w:rPr>
        <w:t>）危险废物暂存间必须做到防雨、防渗、防流失；</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2</w:t>
      </w:r>
      <w:r>
        <w:rPr>
          <w:rFonts w:ascii="Times New Roman" w:hAnsi="Times New Roman" w:cs="Times New Roman"/>
          <w:color w:val="000000" w:themeColor="text1"/>
          <w:kern w:val="0"/>
          <w:sz w:val="24"/>
          <w:szCs w:val="24"/>
          <w:lang w:val="zh-CN"/>
        </w:rPr>
        <w:t>）危险废物暂存间须设置明显的警示标识，加强管理，防止不安全处置；</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3</w:t>
      </w:r>
      <w:r>
        <w:rPr>
          <w:rFonts w:ascii="Times New Roman" w:hAnsi="Times New Roman" w:cs="Times New Roman"/>
          <w:color w:val="000000" w:themeColor="text1"/>
          <w:kern w:val="0"/>
          <w:sz w:val="24"/>
          <w:szCs w:val="24"/>
          <w:lang w:val="zh-CN"/>
        </w:rPr>
        <w:t>）危险废物应当标注废弃物标识，分类包装，分类堆放，并本着及时、方便、安全、快捷的原则，进行收集；</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4</w:t>
      </w:r>
      <w:r>
        <w:rPr>
          <w:rFonts w:ascii="Times New Roman" w:hAnsi="Times New Roman" w:cs="Times New Roman"/>
          <w:color w:val="000000" w:themeColor="text1"/>
          <w:kern w:val="0"/>
          <w:sz w:val="24"/>
          <w:szCs w:val="24"/>
          <w:lang w:val="zh-CN"/>
        </w:rPr>
        <w:t>）禁止将危险废物混入其它废物或生活垃圾；</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（5）</w:t>
      </w:r>
      <w:r>
        <w:rPr>
          <w:rFonts w:ascii="Times New Roman" w:hAnsi="Times New Roman" w:cs="Times New Roman"/>
          <w:color w:val="000000" w:themeColor="text1"/>
          <w:kern w:val="0"/>
          <w:sz w:val="24"/>
          <w:szCs w:val="24"/>
          <w:lang w:val="zh-CN"/>
        </w:rPr>
        <w:t>依照危险废物转移联单制度填写和保存转移联单。</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（6）</w:t>
      </w:r>
      <w:r>
        <w:rPr>
          <w:rFonts w:ascii="Times New Roman" w:hAnsi="Times New Roman" w:cs="Times New Roman"/>
          <w:color w:val="000000" w:themeColor="text1"/>
          <w:kern w:val="0"/>
          <w:sz w:val="24"/>
          <w:szCs w:val="24"/>
          <w:lang w:val="zh-CN"/>
        </w:rPr>
        <w:t>危险废物运输车辆应符合相关规范、驾驶人员必须持证作业；</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（7）</w:t>
      </w:r>
      <w:r>
        <w:rPr>
          <w:rFonts w:ascii="Times New Roman" w:hAnsi="Times New Roman" w:cs="Times New Roman"/>
          <w:color w:val="000000" w:themeColor="text1"/>
          <w:kern w:val="0"/>
          <w:sz w:val="24"/>
          <w:szCs w:val="24"/>
          <w:lang w:val="zh-CN"/>
        </w:rPr>
        <w:t>制定科学的运输路线，运输路线须避开水沟等地表水体；</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（8）</w:t>
      </w:r>
      <w:r>
        <w:rPr>
          <w:rFonts w:ascii="Times New Roman" w:hAnsi="Times New Roman" w:cs="Times New Roman"/>
          <w:color w:val="000000" w:themeColor="text1"/>
          <w:kern w:val="0"/>
          <w:sz w:val="24"/>
          <w:szCs w:val="24"/>
          <w:lang w:val="zh-CN"/>
        </w:rPr>
        <w:t>制定突发环境事件应急预案，将危险废物运输事故列入应急预案风险源中，并制定应急措施。</w:t>
      </w:r>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753" w:name="_Toc311902767"/>
      <w:bookmarkStart w:id="754" w:name="_Toc11036_WPSOffice_Level2"/>
      <w:bookmarkStart w:id="755" w:name="_Toc12018"/>
      <w:bookmarkStart w:id="756" w:name="_Toc22106_WPSOffice_Level2"/>
      <w:bookmarkStart w:id="757" w:name="_Toc849"/>
      <w:bookmarkStart w:id="758" w:name="_Toc26484_WPSOffice_Level2"/>
      <w:bookmarkStart w:id="759" w:name="_Toc10805"/>
      <w:bookmarkStart w:id="760" w:name="_Toc30822_WPSOffice_Level2"/>
      <w:bookmarkStart w:id="761" w:name="_Toc24276_WPSOffice_Level2"/>
      <w:bookmarkStart w:id="762" w:name="_Toc16908"/>
      <w:r>
        <w:rPr>
          <w:rFonts w:ascii="Times New Roman" w:hAnsi="Times New Roman" w:cs="Times New Roman"/>
          <w:b/>
          <w:bCs/>
          <w:color w:val="000000" w:themeColor="text1"/>
          <w:sz w:val="24"/>
          <w:szCs w:val="24"/>
        </w:rPr>
        <w:t>7.4 应急监测</w:t>
      </w:r>
      <w:bookmarkEnd w:id="753"/>
      <w:bookmarkEnd w:id="754"/>
      <w:bookmarkEnd w:id="755"/>
      <w:bookmarkEnd w:id="756"/>
      <w:bookmarkEnd w:id="757"/>
      <w:bookmarkEnd w:id="758"/>
      <w:bookmarkEnd w:id="759"/>
      <w:bookmarkEnd w:id="760"/>
      <w:bookmarkEnd w:id="761"/>
      <w:bookmarkEnd w:id="762"/>
    </w:p>
    <w:p>
      <w:pPr>
        <w:pStyle w:val="35"/>
        <w:ind w:firstLine="480"/>
        <w:contextualSpacing/>
        <w:rPr>
          <w:rFonts w:ascii="Times New Roman" w:hAnsi="Times New Roman" w:cs="Times New Roman"/>
          <w:color w:val="000000" w:themeColor="text1"/>
          <w:szCs w:val="24"/>
        </w:rPr>
      </w:pPr>
      <w:r>
        <w:rPr>
          <w:rFonts w:ascii="Times New Roman" w:hAnsi="Times New Roman" w:cs="Times New Roman"/>
          <w:color w:val="000000" w:themeColor="text1"/>
          <w:szCs w:val="24"/>
        </w:rPr>
        <w:t>发生突发环境事件时，公司应立即委托</w:t>
      </w:r>
      <w:r>
        <w:rPr>
          <w:rFonts w:hint="eastAsia"/>
        </w:rPr>
        <w:t>南昌华标检测技术</w:t>
      </w:r>
      <w:r>
        <w:t>有限公司</w:t>
      </w:r>
      <w:r>
        <w:rPr>
          <w:rFonts w:ascii="Times New Roman" w:hAnsi="Times New Roman" w:cs="Times New Roman"/>
          <w:color w:val="000000" w:themeColor="text1"/>
          <w:szCs w:val="24"/>
        </w:rPr>
        <w:t>对事故污染情况进行监测。根据事故实际情况，迅速确定监测方案（包括监测布点、频次、项目和方法等），及时开展应急监测工作，在尽可能短的时间内，用小型、便携仪器对污染物种类、浓度、污染范围及可能的危害做出判断，以便对事件及时、正确进行处理。</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应急监测是环境监测人员在事故现场，用小型、便携、简易、快速检测仪器和装置，在尽可能短的时间内对事故叙述内容：</w:t>
      </w:r>
      <w:r>
        <w:rPr>
          <w:rFonts w:hint="eastAsia" w:ascii="宋体" w:hAnsi="宋体" w:eastAsia="宋体" w:cs="宋体"/>
          <w:color w:val="000000" w:themeColor="text1"/>
          <w:kern w:val="0"/>
          <w:sz w:val="24"/>
          <w:szCs w:val="24"/>
        </w:rPr>
        <w:t>①</w:t>
      </w:r>
      <w:r>
        <w:rPr>
          <w:rFonts w:ascii="Times New Roman" w:hAnsi="Times New Roman" w:cs="Times New Roman"/>
          <w:color w:val="000000" w:themeColor="text1"/>
          <w:kern w:val="0"/>
          <w:sz w:val="24"/>
          <w:szCs w:val="24"/>
        </w:rPr>
        <w:t>污染物质的种类；</w:t>
      </w:r>
      <w:r>
        <w:rPr>
          <w:rFonts w:hint="eastAsia" w:ascii="宋体" w:hAnsi="宋体" w:eastAsia="宋体" w:cs="宋体"/>
          <w:color w:val="000000" w:themeColor="text1"/>
          <w:kern w:val="0"/>
          <w:sz w:val="24"/>
          <w:szCs w:val="24"/>
        </w:rPr>
        <w:t>②</w:t>
      </w:r>
      <w:r>
        <w:rPr>
          <w:rFonts w:ascii="Times New Roman" w:hAnsi="Times New Roman" w:cs="Times New Roman"/>
          <w:color w:val="000000" w:themeColor="text1"/>
          <w:kern w:val="0"/>
          <w:sz w:val="24"/>
          <w:szCs w:val="24"/>
        </w:rPr>
        <w:t>污染物质的浓度；</w:t>
      </w:r>
      <w:r>
        <w:rPr>
          <w:rFonts w:hint="eastAsia" w:ascii="宋体" w:hAnsi="宋体" w:eastAsia="宋体" w:cs="宋体"/>
          <w:color w:val="000000" w:themeColor="text1"/>
          <w:kern w:val="0"/>
          <w:sz w:val="24"/>
          <w:szCs w:val="24"/>
        </w:rPr>
        <w:t>③</w:t>
      </w:r>
      <w:r>
        <w:rPr>
          <w:rFonts w:ascii="Times New Roman" w:hAnsi="Times New Roman" w:cs="Times New Roman"/>
          <w:color w:val="000000" w:themeColor="text1"/>
          <w:kern w:val="0"/>
          <w:sz w:val="24"/>
          <w:szCs w:val="24"/>
        </w:rPr>
        <w:t>污染的范围及可能造成的危害等作出判断的过程。实施应急监测是做好突发污染事故处置、处理的前提和关键。只有对污染事故的类型和污染状况作出准确的判断，才能对污染事故进行及时、正确的处理、处置和制定恢复措施提供科学的决策依据。可以说应急监测是事故应急处置与善后处理中始终依赖的基础工作。</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在制定应急监测方案时，应遵循的基本原则是：现场应急监测与实验室分析相结合，应急监测技术的先进性和现实可行性相结合，定性与定量、快速与准确相结合，环境要素的优先顺序为空气、地表水、地下水、土壤。</w:t>
      </w:r>
    </w:p>
    <w:p>
      <w:pPr>
        <w:spacing w:line="500" w:lineRule="exact"/>
        <w:ind w:firstLine="480" w:firstLineChars="200"/>
        <w:jc w:val="left"/>
        <w:rPr>
          <w:rFonts w:ascii="Times New Roman" w:hAnsi="Times New Roman" w:cs="Times New Roman"/>
          <w:color w:val="FF0000"/>
          <w:kern w:val="0"/>
          <w:sz w:val="24"/>
          <w:szCs w:val="24"/>
        </w:rPr>
      </w:pPr>
      <w:r>
        <w:rPr>
          <w:rFonts w:hint="eastAsia" w:ascii="Times New Roman" w:hAnsi="Times New Roman" w:cs="Times New Roman"/>
          <w:color w:val="FF0000"/>
          <w:kern w:val="0"/>
          <w:sz w:val="24"/>
          <w:szCs w:val="24"/>
        </w:rPr>
        <w:t>①</w:t>
      </w:r>
      <w:r>
        <w:rPr>
          <w:rFonts w:ascii="Times New Roman" w:hAnsi="Times New Roman" w:cs="Times New Roman"/>
          <w:color w:val="FF0000"/>
          <w:kern w:val="0"/>
          <w:sz w:val="24"/>
          <w:szCs w:val="24"/>
        </w:rPr>
        <w:t>空气：</w:t>
      </w:r>
      <w:r>
        <w:rPr>
          <w:rFonts w:hint="eastAsia" w:ascii="Times New Roman" w:hAnsi="Times New Roman" w:cs="Times New Roman"/>
          <w:color w:val="FF0000"/>
          <w:kern w:val="0"/>
          <w:sz w:val="24"/>
          <w:szCs w:val="24"/>
        </w:rPr>
        <w:t>采样及分析方法：按照国家环保局编制的《环境监测技术规范》有关规定进行。仪器设备：可燃气体检测器</w:t>
      </w:r>
      <w:r>
        <w:rPr>
          <w:rFonts w:hint="eastAsia" w:ascii="Times New Roman" w:hAnsi="Times New Roman" w:cs="Times New Roman"/>
          <w:color w:val="FF0000"/>
          <w:kern w:val="0"/>
          <w:sz w:val="24"/>
          <w:szCs w:val="24"/>
          <w:lang w:eastAsia="zh-CN"/>
        </w:rPr>
        <w:t>。</w:t>
      </w:r>
      <w:r>
        <w:rPr>
          <w:rFonts w:ascii="Times New Roman" w:hAnsi="Times New Roman" w:cs="Times New Roman"/>
          <w:color w:val="FF0000"/>
          <w:kern w:val="0"/>
          <w:sz w:val="24"/>
          <w:szCs w:val="24"/>
        </w:rPr>
        <w:t>评价因子为SO2、NO2、TSP、PM10。对于应急监测采样器，应经常予以校正，以免情况紧急时没有时间进行校正。</w:t>
      </w:r>
    </w:p>
    <w:p>
      <w:pPr>
        <w:spacing w:line="500" w:lineRule="exact"/>
        <w:ind w:firstLine="480" w:firstLineChars="200"/>
        <w:jc w:val="left"/>
        <w:rPr>
          <w:rFonts w:ascii="Times New Roman" w:hAnsi="Times New Roman" w:cs="Times New Roman"/>
          <w:color w:val="FF0000"/>
          <w:kern w:val="0"/>
          <w:sz w:val="24"/>
          <w:szCs w:val="24"/>
        </w:rPr>
      </w:pPr>
      <w:r>
        <w:rPr>
          <w:rFonts w:hint="eastAsia" w:ascii="Times New Roman" w:hAnsi="Times New Roman" w:cs="Times New Roman"/>
          <w:color w:val="FF0000"/>
          <w:kern w:val="0"/>
          <w:sz w:val="24"/>
          <w:szCs w:val="24"/>
        </w:rPr>
        <w:t>②</w:t>
      </w:r>
      <w:r>
        <w:rPr>
          <w:rFonts w:ascii="Times New Roman" w:hAnsi="Times New Roman" w:cs="Times New Roman"/>
          <w:color w:val="FF0000"/>
          <w:kern w:val="0"/>
          <w:sz w:val="24"/>
          <w:szCs w:val="24"/>
        </w:rPr>
        <w:t>地表水：</w:t>
      </w:r>
      <w:r>
        <w:rPr>
          <w:rFonts w:hint="eastAsia" w:ascii="Times New Roman" w:hAnsi="Times New Roman" w:cs="Times New Roman"/>
          <w:color w:val="FF0000"/>
          <w:kern w:val="0"/>
          <w:sz w:val="24"/>
          <w:szCs w:val="24"/>
          <w:lang w:val="en-US" w:eastAsia="zh-CN"/>
        </w:rPr>
        <w:t>检测因子：</w:t>
      </w:r>
      <w:r>
        <w:rPr>
          <w:rFonts w:ascii="Times New Roman" w:hAnsi="Times New Roman" w:cs="Times New Roman"/>
          <w:color w:val="FF0000"/>
          <w:kern w:val="0"/>
          <w:sz w:val="24"/>
          <w:szCs w:val="24"/>
        </w:rPr>
        <w:t>COD</w:t>
      </w:r>
      <w:r>
        <w:rPr>
          <w:rFonts w:hint="eastAsia" w:ascii="Times New Roman" w:hAnsi="Times New Roman" w:cs="Times New Roman"/>
          <w:color w:val="FF0000"/>
          <w:kern w:val="0"/>
          <w:sz w:val="24"/>
          <w:szCs w:val="24"/>
          <w:lang w:eastAsia="zh-CN"/>
        </w:rPr>
        <w:t>、</w:t>
      </w:r>
      <w:r>
        <w:rPr>
          <w:rFonts w:ascii="Times New Roman" w:hAnsi="Times New Roman" w:cs="Times New Roman"/>
          <w:color w:val="FF0000"/>
          <w:kern w:val="0"/>
          <w:sz w:val="24"/>
          <w:szCs w:val="24"/>
        </w:rPr>
        <w:t>BOD5</w:t>
      </w:r>
      <w:r>
        <w:rPr>
          <w:rFonts w:hint="eastAsia" w:ascii="Times New Roman" w:hAnsi="Times New Roman" w:cs="Times New Roman"/>
          <w:color w:val="FF0000"/>
          <w:kern w:val="0"/>
          <w:sz w:val="24"/>
          <w:szCs w:val="24"/>
          <w:lang w:eastAsia="zh-CN"/>
        </w:rPr>
        <w:t>、</w:t>
      </w:r>
      <w:r>
        <w:rPr>
          <w:rFonts w:ascii="Times New Roman" w:hAnsi="Times New Roman" w:cs="Times New Roman"/>
          <w:color w:val="FF0000"/>
          <w:kern w:val="0"/>
          <w:sz w:val="24"/>
          <w:szCs w:val="24"/>
        </w:rPr>
        <w:t>SS</w:t>
      </w:r>
      <w:r>
        <w:rPr>
          <w:rFonts w:hint="eastAsia" w:ascii="Times New Roman" w:hAnsi="Times New Roman" w:cs="Times New Roman"/>
          <w:color w:val="FF0000"/>
          <w:kern w:val="0"/>
          <w:sz w:val="24"/>
          <w:szCs w:val="24"/>
          <w:lang w:eastAsia="zh-CN"/>
        </w:rPr>
        <w:t>、</w:t>
      </w:r>
      <w:r>
        <w:rPr>
          <w:rFonts w:ascii="Times New Roman" w:hAnsi="Times New Roman" w:cs="Times New Roman"/>
          <w:color w:val="FF0000"/>
          <w:kern w:val="0"/>
          <w:sz w:val="24"/>
          <w:szCs w:val="24"/>
        </w:rPr>
        <w:t>NH3-N</w:t>
      </w:r>
      <w:r>
        <w:rPr>
          <w:rFonts w:hint="eastAsia" w:ascii="Times New Roman" w:hAnsi="Times New Roman" w:cs="Times New Roman"/>
          <w:color w:val="FF0000"/>
          <w:kern w:val="0"/>
          <w:sz w:val="24"/>
          <w:szCs w:val="24"/>
          <w:lang w:eastAsia="zh-CN"/>
        </w:rPr>
        <w:t>、</w:t>
      </w:r>
      <w:r>
        <w:rPr>
          <w:rFonts w:hint="eastAsia" w:ascii="Times New Roman" w:hAnsi="Times New Roman" w:cs="Times New Roman"/>
          <w:color w:val="FF0000"/>
          <w:kern w:val="0"/>
          <w:sz w:val="24"/>
          <w:szCs w:val="24"/>
        </w:rPr>
        <w:t>石油类</w:t>
      </w:r>
      <w:r>
        <w:rPr>
          <w:rFonts w:hint="eastAsia" w:ascii="Times New Roman" w:hAnsi="Times New Roman" w:cs="Times New Roman"/>
          <w:color w:val="FF0000"/>
          <w:kern w:val="0"/>
          <w:sz w:val="24"/>
          <w:szCs w:val="24"/>
          <w:lang w:eastAsia="zh-CN"/>
        </w:rPr>
        <w:t>。</w:t>
      </w:r>
    </w:p>
    <w:p>
      <w:pPr>
        <w:spacing w:before="156" w:beforeLines="50"/>
        <w:ind w:firstLine="422"/>
        <w:jc w:val="both"/>
        <w:rPr>
          <w:rFonts w:hAnsi="宋体"/>
          <w:b/>
          <w:color w:val="FF0000"/>
          <w:sz w:val="24"/>
        </w:rPr>
      </w:pPr>
      <w:r>
        <w:rPr>
          <w:rFonts w:hint="eastAsia" w:hAnsi="宋体"/>
          <w:b/>
          <w:color w:val="FF0000"/>
          <w:sz w:val="24"/>
        </w:rPr>
        <w:t>水质分析方法</w:t>
      </w:r>
    </w:p>
    <w:tbl>
      <w:tblPr>
        <w:tblStyle w:val="14"/>
        <w:tblW w:w="5000" w:type="pct"/>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2207"/>
        <w:gridCol w:w="4415"/>
        <w:gridCol w:w="3354"/>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7" w:hRule="atLeast"/>
          <w:jc w:val="center"/>
        </w:trPr>
        <w:tc>
          <w:tcPr>
            <w:tcW w:w="1106" w:type="pct"/>
            <w:tcBorders>
              <w:top w:val="single" w:color="auto" w:sz="12" w:space="0"/>
            </w:tcBorders>
            <w:vAlign w:val="center"/>
          </w:tcPr>
          <w:p>
            <w:pPr>
              <w:adjustRightInd w:val="0"/>
              <w:snapToGrid w:val="0"/>
              <w:jc w:val="center"/>
              <w:rPr>
                <w:rFonts w:hint="eastAsia" w:ascii="宋体" w:hAnsi="宋体" w:eastAsia="宋体" w:cs="宋体"/>
                <w:b/>
                <w:color w:val="FF0000"/>
                <w:szCs w:val="21"/>
              </w:rPr>
            </w:pPr>
            <w:r>
              <w:rPr>
                <w:rFonts w:hint="eastAsia" w:ascii="宋体" w:hAnsi="宋体" w:eastAsia="宋体" w:cs="宋体"/>
                <w:b/>
                <w:color w:val="FF0000"/>
                <w:szCs w:val="21"/>
              </w:rPr>
              <w:t>监测项目</w:t>
            </w:r>
          </w:p>
        </w:tc>
        <w:tc>
          <w:tcPr>
            <w:tcW w:w="2213" w:type="pct"/>
            <w:tcBorders>
              <w:top w:val="single" w:color="auto" w:sz="12" w:space="0"/>
            </w:tcBorders>
            <w:vAlign w:val="center"/>
          </w:tcPr>
          <w:p>
            <w:pPr>
              <w:adjustRightInd w:val="0"/>
              <w:snapToGrid w:val="0"/>
              <w:jc w:val="center"/>
              <w:rPr>
                <w:rFonts w:hint="eastAsia" w:ascii="宋体" w:hAnsi="宋体" w:eastAsia="宋体" w:cs="宋体"/>
                <w:b/>
                <w:color w:val="FF0000"/>
                <w:szCs w:val="21"/>
              </w:rPr>
            </w:pPr>
            <w:r>
              <w:rPr>
                <w:rFonts w:hint="eastAsia" w:ascii="宋体" w:hAnsi="宋体" w:eastAsia="宋体" w:cs="宋体"/>
                <w:b/>
                <w:color w:val="FF0000"/>
                <w:szCs w:val="21"/>
              </w:rPr>
              <w:t>监测方法</w:t>
            </w:r>
          </w:p>
        </w:tc>
        <w:tc>
          <w:tcPr>
            <w:tcW w:w="1681" w:type="pct"/>
            <w:tcBorders>
              <w:top w:val="single" w:color="auto" w:sz="12" w:space="0"/>
            </w:tcBorders>
            <w:vAlign w:val="center"/>
          </w:tcPr>
          <w:p>
            <w:pPr>
              <w:adjustRightInd w:val="0"/>
              <w:snapToGrid w:val="0"/>
              <w:jc w:val="center"/>
              <w:rPr>
                <w:rFonts w:hint="eastAsia" w:ascii="宋体" w:hAnsi="宋体" w:eastAsia="宋体" w:cs="宋体"/>
                <w:b/>
                <w:color w:val="FF0000"/>
                <w:szCs w:val="21"/>
              </w:rPr>
            </w:pPr>
            <w:r>
              <w:rPr>
                <w:rFonts w:hint="eastAsia" w:ascii="宋体" w:hAnsi="宋体" w:eastAsia="宋体" w:cs="宋体"/>
                <w:b/>
                <w:color w:val="FF0000"/>
                <w:szCs w:val="21"/>
              </w:rPr>
              <w:t>最低检出限（mg/L）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7" w:hRule="atLeast"/>
          <w:jc w:val="center"/>
        </w:trPr>
        <w:tc>
          <w:tcPr>
            <w:tcW w:w="1106" w:type="pct"/>
            <w:vAlign w:val="center"/>
          </w:tcPr>
          <w:p>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pH</w:t>
            </w:r>
          </w:p>
        </w:tc>
        <w:tc>
          <w:tcPr>
            <w:tcW w:w="2213" w:type="pct"/>
            <w:vAlign w:val="center"/>
          </w:tcPr>
          <w:p>
            <w:pPr>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GB/T 6920-1986玻璃电极法</w:t>
            </w:r>
          </w:p>
        </w:tc>
        <w:tc>
          <w:tcPr>
            <w:tcW w:w="1681" w:type="pct"/>
            <w:vAlign w:val="center"/>
          </w:tcPr>
          <w:p>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7" w:hRule="atLeast"/>
          <w:jc w:val="center"/>
        </w:trPr>
        <w:tc>
          <w:tcPr>
            <w:tcW w:w="1106" w:type="pct"/>
            <w:vAlign w:val="center"/>
          </w:tcPr>
          <w:p>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COD</w:t>
            </w:r>
          </w:p>
        </w:tc>
        <w:tc>
          <w:tcPr>
            <w:tcW w:w="2213" w:type="pct"/>
            <w:vAlign w:val="center"/>
          </w:tcPr>
          <w:p>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GB/T 11914-1989重铬酸盐法</w:t>
            </w:r>
          </w:p>
        </w:tc>
        <w:tc>
          <w:tcPr>
            <w:tcW w:w="1681" w:type="pct"/>
            <w:vAlign w:val="center"/>
          </w:tcPr>
          <w:p>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7" w:hRule="atLeast"/>
          <w:jc w:val="center"/>
        </w:trPr>
        <w:tc>
          <w:tcPr>
            <w:tcW w:w="1106" w:type="pct"/>
            <w:vAlign w:val="center"/>
          </w:tcPr>
          <w:p>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氨氮</w:t>
            </w:r>
          </w:p>
        </w:tc>
        <w:tc>
          <w:tcPr>
            <w:tcW w:w="2213" w:type="pct"/>
            <w:vAlign w:val="center"/>
          </w:tcPr>
          <w:p>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HJ 535-2009纳氏试剂分光光度法</w:t>
            </w:r>
          </w:p>
        </w:tc>
        <w:tc>
          <w:tcPr>
            <w:tcW w:w="1681" w:type="pct"/>
            <w:vAlign w:val="center"/>
          </w:tcPr>
          <w:p>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0.025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7" w:hRule="atLeast"/>
          <w:jc w:val="center"/>
        </w:trPr>
        <w:tc>
          <w:tcPr>
            <w:tcW w:w="1106" w:type="pct"/>
            <w:vAlign w:val="center"/>
          </w:tcPr>
          <w:p>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氟化物</w:t>
            </w:r>
          </w:p>
        </w:tc>
        <w:tc>
          <w:tcPr>
            <w:tcW w:w="2213" w:type="pct"/>
            <w:vAlign w:val="center"/>
          </w:tcPr>
          <w:p>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GB7484-87离子选择电极法</w:t>
            </w:r>
          </w:p>
        </w:tc>
        <w:tc>
          <w:tcPr>
            <w:tcW w:w="1681" w:type="pct"/>
            <w:vAlign w:val="center"/>
          </w:tcPr>
          <w:p>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7" w:hRule="atLeast"/>
          <w:jc w:val="center"/>
        </w:trPr>
        <w:tc>
          <w:tcPr>
            <w:tcW w:w="1106" w:type="pct"/>
            <w:vAlign w:val="center"/>
          </w:tcPr>
          <w:p>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磷酸盐</w:t>
            </w:r>
          </w:p>
        </w:tc>
        <w:tc>
          <w:tcPr>
            <w:tcW w:w="2213" w:type="pct"/>
            <w:vAlign w:val="center"/>
          </w:tcPr>
          <w:p>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GB11893-89钼酸铵分光光度法</w:t>
            </w:r>
          </w:p>
        </w:tc>
        <w:tc>
          <w:tcPr>
            <w:tcW w:w="1681" w:type="pct"/>
            <w:vAlign w:val="center"/>
          </w:tcPr>
          <w:p>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27" w:hRule="atLeast"/>
          <w:jc w:val="center"/>
        </w:trPr>
        <w:tc>
          <w:tcPr>
            <w:tcW w:w="1106" w:type="pct"/>
            <w:vAlign w:val="center"/>
          </w:tcPr>
          <w:p>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总镍</w:t>
            </w:r>
          </w:p>
        </w:tc>
        <w:tc>
          <w:tcPr>
            <w:tcW w:w="2213" w:type="pct"/>
            <w:vAlign w:val="center"/>
          </w:tcPr>
          <w:p>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HJ/T63.1-2001火焰原子吸收法</w:t>
            </w:r>
          </w:p>
        </w:tc>
        <w:tc>
          <w:tcPr>
            <w:tcW w:w="1681" w:type="pct"/>
            <w:vAlign w:val="center"/>
          </w:tcPr>
          <w:p>
            <w:pPr>
              <w:adjustRightInd w:val="0"/>
              <w:snapToGrid w:val="0"/>
              <w:jc w:val="center"/>
              <w:rPr>
                <w:rFonts w:hint="default" w:ascii="Times New Roman" w:hAnsi="Times New Roman" w:eastAsia="宋体" w:cs="Times New Roman"/>
                <w:color w:val="FF0000"/>
                <w:szCs w:val="21"/>
              </w:rPr>
            </w:pPr>
            <w:r>
              <w:rPr>
                <w:rFonts w:hint="default" w:ascii="Times New Roman" w:hAnsi="Times New Roman" w:eastAsia="宋体" w:cs="Times New Roman"/>
                <w:color w:val="FF0000"/>
                <w:szCs w:val="21"/>
              </w:rPr>
              <w:t>—</w:t>
            </w:r>
          </w:p>
        </w:tc>
      </w:tr>
    </w:tbl>
    <w:p>
      <w:pPr>
        <w:pStyle w:val="2"/>
        <w:ind w:left="0" w:leftChars="0" w:firstLine="420" w:firstLineChars="0"/>
      </w:pPr>
      <w:r>
        <w:rPr>
          <w:rFonts w:hint="eastAsia" w:ascii="宋体" w:hAnsi="宋体" w:eastAsia="宋体" w:cs="宋体"/>
          <w:color w:val="auto"/>
          <w:kern w:val="0"/>
          <w:sz w:val="24"/>
          <w:szCs w:val="24"/>
        </w:rPr>
        <w:t>③地下水：</w:t>
      </w:r>
      <w:r>
        <w:rPr>
          <w:rFonts w:hint="eastAsia" w:ascii="宋体" w:hAnsi="宋体" w:eastAsia="宋体" w:cs="宋体"/>
          <w:color w:val="FF0000"/>
          <w:sz w:val="24"/>
          <w:szCs w:val="24"/>
        </w:rPr>
        <w:t>监测因子：pH、COD</w:t>
      </w:r>
      <w:r>
        <w:rPr>
          <w:rFonts w:hint="eastAsia" w:ascii="宋体" w:hAnsi="宋体" w:eastAsia="宋体" w:cs="宋体"/>
          <w:color w:val="FF0000"/>
          <w:sz w:val="24"/>
          <w:szCs w:val="24"/>
          <w:vertAlign w:val="subscript"/>
        </w:rPr>
        <w:t>Mn</w:t>
      </w:r>
      <w:r>
        <w:rPr>
          <w:rFonts w:hint="eastAsia" w:ascii="宋体" w:hAnsi="宋体" w:eastAsia="宋体" w:cs="宋体"/>
          <w:color w:val="FF0000"/>
          <w:sz w:val="24"/>
          <w:szCs w:val="24"/>
        </w:rPr>
        <w:t>、氨氮、总硬度</w:t>
      </w:r>
      <w:r>
        <w:rPr>
          <w:rFonts w:hint="eastAsia" w:ascii="宋体" w:hAnsi="宋体" w:eastAsia="宋体" w:cs="宋体"/>
          <w:color w:val="FF0000"/>
          <w:sz w:val="24"/>
          <w:szCs w:val="24"/>
          <w:lang w:eastAsia="zh-CN"/>
        </w:rPr>
        <w:t>、溶解性总固体、</w:t>
      </w:r>
      <w:r>
        <w:rPr>
          <w:rFonts w:hint="eastAsia" w:ascii="宋体" w:hAnsi="宋体" w:eastAsia="宋体" w:cs="宋体"/>
          <w:color w:val="FF0000"/>
          <w:sz w:val="24"/>
          <w:szCs w:val="24"/>
          <w:lang w:val="en-US" w:eastAsia="zh-CN"/>
        </w:rPr>
        <w:t>石油类、悬浮物</w:t>
      </w:r>
      <w:r>
        <w:rPr>
          <w:rFonts w:hint="eastAsia" w:ascii="宋体" w:hAnsi="宋体" w:eastAsia="宋体" w:cs="宋体"/>
          <w:color w:val="FF0000"/>
          <w:sz w:val="24"/>
          <w:szCs w:val="24"/>
        </w:rPr>
        <w:t>。</w:t>
      </w:r>
    </w:p>
    <w:p>
      <w:pPr>
        <w:spacing w:line="500" w:lineRule="exact"/>
        <w:ind w:firstLine="482" w:firstLineChars="200"/>
        <w:jc w:val="left"/>
        <w:rPr>
          <w:rFonts w:ascii="Times New Roman" w:hAnsi="Times New Roman" w:cs="Times New Roman"/>
          <w:b/>
          <w:color w:val="000000" w:themeColor="text1"/>
          <w:kern w:val="0"/>
          <w:sz w:val="24"/>
          <w:szCs w:val="24"/>
        </w:rPr>
      </w:pPr>
      <w:bookmarkStart w:id="763" w:name="_Toc24711_WPSOffice_Level3"/>
      <w:bookmarkStart w:id="764" w:name="_Toc19427_WPSOffice_Level3"/>
      <w:bookmarkStart w:id="765" w:name="_Toc30822_WPSOffice_Level3"/>
      <w:bookmarkStart w:id="766" w:name="_Toc18104_WPSOffice_Level3"/>
      <w:bookmarkStart w:id="767" w:name="_Toc21957_WPSOffice_Level3"/>
      <w:r>
        <w:rPr>
          <w:rFonts w:ascii="Times New Roman" w:hAnsi="Times New Roman" w:cs="Times New Roman"/>
          <w:b/>
          <w:color w:val="000000" w:themeColor="text1"/>
          <w:kern w:val="0"/>
          <w:sz w:val="24"/>
          <w:szCs w:val="24"/>
        </w:rPr>
        <w:t>（1）应急监测的响应程序</w:t>
      </w:r>
      <w:bookmarkEnd w:id="763"/>
      <w:bookmarkEnd w:id="764"/>
      <w:bookmarkEnd w:id="765"/>
      <w:bookmarkEnd w:id="766"/>
      <w:bookmarkEnd w:id="767"/>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①</w:t>
      </w:r>
      <w:r>
        <w:rPr>
          <w:rFonts w:ascii="Times New Roman" w:hAnsi="Times New Roman" w:cs="Times New Roman"/>
          <w:color w:val="000000" w:themeColor="text1"/>
          <w:kern w:val="0"/>
          <w:sz w:val="24"/>
          <w:szCs w:val="24"/>
        </w:rPr>
        <w:t>接受应急监测任务，启动应急监测响应预案。</w:t>
      </w:r>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②</w:t>
      </w:r>
      <w:r>
        <w:rPr>
          <w:rFonts w:ascii="Times New Roman" w:hAnsi="Times New Roman" w:cs="Times New Roman"/>
          <w:color w:val="000000" w:themeColor="text1"/>
          <w:kern w:val="0"/>
          <w:sz w:val="24"/>
          <w:szCs w:val="24"/>
        </w:rPr>
        <w:t>了解现场情况，确定应急监测方法，准备监测器材、试剂和防护用品，同时做好实验室分析的准备。</w:t>
      </w:r>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③</w:t>
      </w:r>
      <w:r>
        <w:rPr>
          <w:rFonts w:ascii="Times New Roman" w:hAnsi="Times New Roman" w:cs="Times New Roman"/>
          <w:color w:val="000000" w:themeColor="text1"/>
          <w:kern w:val="0"/>
          <w:sz w:val="24"/>
          <w:szCs w:val="24"/>
        </w:rPr>
        <w:t>实施现场监测，快速报告结果。</w:t>
      </w:r>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④</w:t>
      </w:r>
      <w:r>
        <w:rPr>
          <w:rFonts w:ascii="Times New Roman" w:hAnsi="Times New Roman" w:cs="Times New Roman"/>
          <w:color w:val="000000" w:themeColor="text1"/>
          <w:kern w:val="0"/>
          <w:sz w:val="24"/>
          <w:szCs w:val="24"/>
        </w:rPr>
        <w:t>进行初步综合分析，编写监测报告，提出跟踪监测和污染控制建议。</w:t>
      </w:r>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⑤</w:t>
      </w:r>
      <w:r>
        <w:rPr>
          <w:rFonts w:ascii="Times New Roman" w:hAnsi="Times New Roman" w:cs="Times New Roman"/>
          <w:color w:val="000000" w:themeColor="text1"/>
          <w:kern w:val="0"/>
          <w:sz w:val="24"/>
          <w:szCs w:val="24"/>
        </w:rPr>
        <w:t>实施跟踪监测，及时报告结果。</w:t>
      </w:r>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⑥</w:t>
      </w:r>
      <w:r>
        <w:rPr>
          <w:rFonts w:ascii="Times New Roman" w:hAnsi="Times New Roman" w:cs="Times New Roman"/>
          <w:color w:val="000000" w:themeColor="text1"/>
          <w:kern w:val="0"/>
          <w:sz w:val="24"/>
          <w:szCs w:val="24"/>
        </w:rPr>
        <w:t>进行深入的综合分析，编写总结报告上报。</w:t>
      </w:r>
    </w:p>
    <w:p>
      <w:pPr>
        <w:spacing w:line="500" w:lineRule="exact"/>
        <w:ind w:firstLine="482" w:firstLineChars="200"/>
        <w:jc w:val="left"/>
        <w:rPr>
          <w:rFonts w:ascii="Times New Roman" w:hAnsi="Times New Roman" w:cs="Times New Roman"/>
          <w:b/>
          <w:color w:val="000000" w:themeColor="text1"/>
          <w:kern w:val="0"/>
          <w:sz w:val="24"/>
          <w:szCs w:val="24"/>
        </w:rPr>
      </w:pPr>
      <w:bookmarkStart w:id="768" w:name="_Toc3320_WPSOffice_Level3"/>
      <w:bookmarkStart w:id="769" w:name="_Toc19091_WPSOffice_Level3"/>
      <w:bookmarkStart w:id="770" w:name="_Toc8802_WPSOffice_Level3"/>
      <w:bookmarkStart w:id="771" w:name="_Toc26203_WPSOffice_Level3"/>
      <w:bookmarkStart w:id="772" w:name="_Toc9099_WPSOffice_Level3"/>
      <w:r>
        <w:rPr>
          <w:rFonts w:ascii="Times New Roman" w:hAnsi="Times New Roman" w:cs="Times New Roman"/>
          <w:b/>
          <w:color w:val="000000" w:themeColor="text1"/>
          <w:kern w:val="0"/>
          <w:sz w:val="24"/>
          <w:szCs w:val="24"/>
        </w:rPr>
        <w:t>（2）布点原则</w:t>
      </w:r>
      <w:bookmarkEnd w:id="768"/>
      <w:bookmarkEnd w:id="769"/>
      <w:bookmarkEnd w:id="770"/>
      <w:bookmarkEnd w:id="771"/>
      <w:bookmarkEnd w:id="772"/>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由于危险废物污染事故发生时，污染物的分布极不均匀，时空变化大，对各环境要素的污染程度不同，因此采样点位的选择对于准确判断污染物浓度分布、分布范围和程度极为重要，因此，点位的确定应考虑以下因素：</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事故的类型（泄漏、火灾、爆炸等）、严重程度与影响范围。</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事故发生的地点与人口分布情况。</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事故发生时的天气情况，尤其是风向、风速及其变化情况</w:t>
      </w:r>
    </w:p>
    <w:p>
      <w:pPr>
        <w:spacing w:line="500" w:lineRule="exact"/>
        <w:ind w:firstLine="482" w:firstLineChars="200"/>
        <w:jc w:val="left"/>
        <w:rPr>
          <w:rFonts w:ascii="Times New Roman" w:hAnsi="Times New Roman" w:cs="Times New Roman"/>
          <w:b/>
          <w:color w:val="000000" w:themeColor="text1"/>
          <w:kern w:val="0"/>
          <w:sz w:val="24"/>
          <w:szCs w:val="24"/>
        </w:rPr>
      </w:pPr>
      <w:bookmarkStart w:id="773" w:name="_Toc8887_WPSOffice_Level3"/>
      <w:bookmarkStart w:id="774" w:name="_Toc19191_WPSOffice_Level3"/>
      <w:bookmarkStart w:id="775" w:name="_Toc14492_WPSOffice_Level3"/>
      <w:bookmarkStart w:id="776" w:name="_Toc7199_WPSOffice_Level3"/>
      <w:bookmarkStart w:id="777" w:name="_Toc9104_WPSOffice_Level3"/>
      <w:r>
        <w:rPr>
          <w:rFonts w:ascii="Times New Roman" w:hAnsi="Times New Roman" w:cs="Times New Roman"/>
          <w:b/>
          <w:color w:val="000000" w:themeColor="text1"/>
          <w:kern w:val="0"/>
          <w:sz w:val="24"/>
          <w:szCs w:val="24"/>
        </w:rPr>
        <w:t>（3）布点方案</w:t>
      </w:r>
      <w:bookmarkEnd w:id="773"/>
      <w:bookmarkEnd w:id="774"/>
      <w:bookmarkEnd w:id="775"/>
      <w:bookmarkEnd w:id="776"/>
      <w:bookmarkEnd w:id="777"/>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本项目为加油站可以看出所涉及的危险化学品的泄漏会很大程度的危害到空气、地表水、地下水以及土壤，因此，可采用如下采样布点方案：</w:t>
      </w:r>
    </w:p>
    <w:p>
      <w:pPr>
        <w:spacing w:line="360" w:lineRule="auto"/>
        <w:ind w:firstLine="480" w:firstLineChars="200"/>
        <w:rPr>
          <w:rFonts w:ascii="Times New Roman" w:hAnsi="Times New Roman" w:cs="Times New Roman"/>
          <w:color w:val="FF0000"/>
          <w:kern w:val="0"/>
          <w:sz w:val="24"/>
          <w:szCs w:val="24"/>
        </w:rPr>
      </w:pPr>
      <w:r>
        <w:rPr>
          <w:rFonts w:hint="eastAsia" w:ascii="宋体" w:hAnsi="宋体" w:eastAsia="宋体" w:cs="宋体"/>
          <w:color w:val="FF0000"/>
          <w:kern w:val="0"/>
          <w:sz w:val="24"/>
          <w:szCs w:val="24"/>
        </w:rPr>
        <w:t>①</w:t>
      </w:r>
      <w:r>
        <w:rPr>
          <w:rFonts w:ascii="Times New Roman" w:hAnsi="Times New Roman" w:cs="Times New Roman"/>
          <w:color w:val="FF0000"/>
          <w:kern w:val="0"/>
          <w:sz w:val="24"/>
          <w:szCs w:val="24"/>
        </w:rPr>
        <w:t>空气：应尽可能在事故发生地就近采样，并以事故点为中心，根据事故发生地的地理特点、盛行风向及其他自然条件，在事故发生地下风向影响区域、掩体或低洼地等位置，按一定间隔的圆形布点采样，并根据污染物的特性在不同高度采样，同时在事故点的上风向适当位置布设对照点，在距事故发生地最近的居民住宅区布点采样，采样过程中应注意风向的变化，及时调整采样点位置。利用检气管快速监测污染物的种类和浓度范围，现场确定采样流量和采样时间。采样时，应同时记录气温、气压、风向和风速，采样总体积应换算成标准状态下的体积。</w:t>
      </w:r>
    </w:p>
    <w:p>
      <w:pPr>
        <w:spacing w:line="500" w:lineRule="exact"/>
        <w:ind w:firstLine="480" w:firstLineChars="200"/>
        <w:jc w:val="left"/>
        <w:rPr>
          <w:rFonts w:ascii="Times New Roman" w:hAnsi="Times New Roman" w:cs="Times New Roman"/>
          <w:color w:val="FF0000"/>
          <w:kern w:val="0"/>
          <w:sz w:val="24"/>
          <w:szCs w:val="24"/>
        </w:rPr>
      </w:pPr>
      <w:r>
        <w:rPr>
          <w:rFonts w:hint="eastAsia" w:ascii="Times New Roman" w:hAnsi="Times New Roman" w:cs="Times New Roman"/>
          <w:color w:val="FF0000"/>
          <w:kern w:val="0"/>
          <w:sz w:val="24"/>
          <w:szCs w:val="24"/>
        </w:rPr>
        <w:t>②</w:t>
      </w:r>
      <w:r>
        <w:rPr>
          <w:rFonts w:ascii="Times New Roman" w:hAnsi="Times New Roman" w:cs="Times New Roman"/>
          <w:color w:val="FF0000"/>
          <w:kern w:val="0"/>
          <w:sz w:val="24"/>
          <w:szCs w:val="24"/>
        </w:rPr>
        <w:t>地表水：</w:t>
      </w:r>
      <w:r>
        <w:rPr>
          <w:rFonts w:hint="eastAsia" w:ascii="Times New Roman" w:hAnsi="Times New Roman" w:cs="Times New Roman"/>
          <w:color w:val="FF0000"/>
          <w:kern w:val="0"/>
          <w:sz w:val="24"/>
          <w:szCs w:val="24"/>
        </w:rPr>
        <w:t>监测点位：发生水污染事故时，</w:t>
      </w:r>
      <w:r>
        <w:rPr>
          <w:rFonts w:hint="eastAsia" w:ascii="Times New Roman" w:hAnsi="Times New Roman" w:cs="Times New Roman"/>
          <w:color w:val="FF0000"/>
          <w:kern w:val="0"/>
          <w:sz w:val="24"/>
          <w:szCs w:val="24"/>
          <w:lang w:val="en-US" w:eastAsia="zh-CN"/>
        </w:rPr>
        <w:t>加油站</w:t>
      </w:r>
      <w:r>
        <w:rPr>
          <w:rFonts w:hint="eastAsia" w:ascii="Times New Roman" w:hAnsi="Times New Roman" w:cs="Times New Roman"/>
          <w:color w:val="FF0000"/>
          <w:kern w:val="0"/>
          <w:sz w:val="24"/>
          <w:szCs w:val="24"/>
        </w:rPr>
        <w:t>排污口上游</w:t>
      </w:r>
      <w:r>
        <w:rPr>
          <w:rFonts w:ascii="Times New Roman" w:hAnsi="Times New Roman" w:cs="Times New Roman"/>
          <w:color w:val="FF0000"/>
          <w:kern w:val="0"/>
          <w:sz w:val="24"/>
          <w:szCs w:val="24"/>
        </w:rPr>
        <w:t>500</w:t>
      </w:r>
      <w:r>
        <w:rPr>
          <w:rFonts w:hint="eastAsia" w:ascii="Times New Roman" w:hAnsi="Times New Roman" w:cs="Times New Roman"/>
          <w:color w:val="FF0000"/>
          <w:kern w:val="0"/>
          <w:sz w:val="24"/>
          <w:szCs w:val="24"/>
        </w:rPr>
        <w:t>米和下游</w:t>
      </w:r>
      <w:r>
        <w:rPr>
          <w:rFonts w:ascii="Times New Roman" w:hAnsi="Times New Roman" w:cs="Times New Roman"/>
          <w:color w:val="FF0000"/>
          <w:kern w:val="0"/>
          <w:sz w:val="24"/>
          <w:szCs w:val="24"/>
        </w:rPr>
        <w:t>500</w:t>
      </w:r>
      <w:r>
        <w:rPr>
          <w:rFonts w:hint="eastAsia" w:ascii="Times New Roman" w:hAnsi="Times New Roman" w:cs="Times New Roman"/>
          <w:color w:val="FF0000"/>
          <w:kern w:val="0"/>
          <w:sz w:val="24"/>
          <w:szCs w:val="24"/>
        </w:rPr>
        <w:t>米各设一个监测点。应急监测时间和监测频次：按照事故持续时间决定监测时间，根据事故严重性决定监测频次。事故发生后尽快进行监测，随事故控制减弱，适当减少监测频次。事故发生</w:t>
      </w:r>
      <w:r>
        <w:rPr>
          <w:rFonts w:ascii="Times New Roman" w:hAnsi="Times New Roman" w:cs="Times New Roman"/>
          <w:color w:val="FF0000"/>
          <w:kern w:val="0"/>
          <w:sz w:val="24"/>
          <w:szCs w:val="24"/>
        </w:rPr>
        <w:t>1</w:t>
      </w:r>
      <w:r>
        <w:rPr>
          <w:rFonts w:hint="eastAsia" w:ascii="Times New Roman" w:hAnsi="Times New Roman" w:cs="Times New Roman"/>
          <w:color w:val="FF0000"/>
          <w:kern w:val="0"/>
          <w:sz w:val="24"/>
          <w:szCs w:val="24"/>
        </w:rPr>
        <w:t>小时内每</w:t>
      </w:r>
      <w:r>
        <w:rPr>
          <w:rFonts w:ascii="Times New Roman" w:hAnsi="Times New Roman" w:cs="Times New Roman"/>
          <w:color w:val="FF0000"/>
          <w:kern w:val="0"/>
          <w:sz w:val="24"/>
          <w:szCs w:val="24"/>
        </w:rPr>
        <w:t>15</w:t>
      </w:r>
      <w:r>
        <w:rPr>
          <w:rFonts w:hint="eastAsia" w:ascii="Times New Roman" w:hAnsi="Times New Roman" w:cs="Times New Roman"/>
          <w:color w:val="FF0000"/>
          <w:kern w:val="0"/>
          <w:sz w:val="24"/>
          <w:szCs w:val="24"/>
        </w:rPr>
        <w:t>分钟取样进行监测，事故后</w:t>
      </w:r>
      <w:r>
        <w:rPr>
          <w:rFonts w:ascii="Times New Roman" w:hAnsi="Times New Roman" w:cs="Times New Roman"/>
          <w:color w:val="FF0000"/>
          <w:kern w:val="0"/>
          <w:sz w:val="24"/>
          <w:szCs w:val="24"/>
        </w:rPr>
        <w:t>4</w:t>
      </w:r>
      <w:r>
        <w:rPr>
          <w:rFonts w:hint="eastAsia" w:ascii="Times New Roman" w:hAnsi="Times New Roman" w:cs="Times New Roman"/>
          <w:color w:val="FF0000"/>
          <w:kern w:val="0"/>
          <w:sz w:val="24"/>
          <w:szCs w:val="24"/>
        </w:rPr>
        <w:t>小时、</w:t>
      </w:r>
      <w:r>
        <w:rPr>
          <w:rFonts w:ascii="Times New Roman" w:hAnsi="Times New Roman" w:cs="Times New Roman"/>
          <w:color w:val="FF0000"/>
          <w:kern w:val="0"/>
          <w:sz w:val="24"/>
          <w:szCs w:val="24"/>
        </w:rPr>
        <w:t>10</w:t>
      </w:r>
      <w:r>
        <w:rPr>
          <w:rFonts w:hint="eastAsia" w:ascii="Times New Roman" w:hAnsi="Times New Roman" w:cs="Times New Roman"/>
          <w:color w:val="FF0000"/>
          <w:kern w:val="0"/>
          <w:sz w:val="24"/>
          <w:szCs w:val="24"/>
        </w:rPr>
        <w:t>小时、</w:t>
      </w:r>
      <w:r>
        <w:rPr>
          <w:rFonts w:ascii="Times New Roman" w:hAnsi="Times New Roman" w:cs="Times New Roman"/>
          <w:color w:val="FF0000"/>
          <w:kern w:val="0"/>
          <w:sz w:val="24"/>
          <w:szCs w:val="24"/>
        </w:rPr>
        <w:t>24</w:t>
      </w:r>
      <w:r>
        <w:rPr>
          <w:rFonts w:hint="eastAsia" w:ascii="Times New Roman" w:hAnsi="Times New Roman" w:cs="Times New Roman"/>
          <w:color w:val="FF0000"/>
          <w:kern w:val="0"/>
          <w:sz w:val="24"/>
          <w:szCs w:val="24"/>
        </w:rPr>
        <w:t>小时各监测一次。</w:t>
      </w:r>
      <w:r>
        <w:rPr>
          <w:rFonts w:ascii="Times New Roman" w:hAnsi="Times New Roman" w:cs="Times New Roman"/>
          <w:color w:val="FF0000"/>
          <w:kern w:val="0"/>
          <w:sz w:val="24"/>
          <w:szCs w:val="24"/>
        </w:rPr>
        <w:t>采样器具应洁净并应避免交叉感染，现场可采集平行双样，一份供现场快速测定，另一份现场立即交入保护剂，尽快送至实验室进行分析。若需要，可同时用专用采泥器或塑料铲采集事故发生地的沉积物样品密封装入塑料广口瓶中。</w:t>
      </w:r>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③</w:t>
      </w:r>
      <w:r>
        <w:rPr>
          <w:rFonts w:ascii="Times New Roman" w:hAnsi="Times New Roman" w:cs="Times New Roman"/>
          <w:color w:val="000000" w:themeColor="text1"/>
          <w:kern w:val="0"/>
          <w:sz w:val="24"/>
          <w:szCs w:val="24"/>
        </w:rPr>
        <w:t>地下水：应以事故发生地为中心，根据本地区地下水流向采用网格法或辐射法在周围2km内布设监测井采样，同进视地下水主要补给来源，在垂直于地下水流的上方向，设置对照监测井采样，在以地下水为饮用水源的取水处必须设置采样点。</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采样应避开井壁，采样瓶以均匀的速度沉入水中，使整个垂直断面的各层水样进入采样瓶。</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若用泵或直接从取水管采集水样时，应先排尽管内的积水后采集水样，同时要在事故发生地的上游采样一个对照样品。</w:t>
      </w:r>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④</w:t>
      </w:r>
      <w:r>
        <w:rPr>
          <w:rFonts w:ascii="Times New Roman" w:hAnsi="Times New Roman" w:cs="Times New Roman"/>
          <w:color w:val="000000" w:themeColor="text1"/>
          <w:kern w:val="0"/>
          <w:sz w:val="24"/>
          <w:szCs w:val="24"/>
        </w:rPr>
        <w:t>土壤：应以事故发生地为中心，在事故发生地及周围一定距离内的区域按一定的间隔圆形布点采样，并根据污染物的特性在不同深度采样，同时采集未受污染区域的样品作为对照样品。必要时还应采集事故地附近的作物样品。</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在相对开阔的污染区域采取垂直深10cm的表层土。一般在10m×10m范围内，采用梅花形布点方法或根据地形采用蛇形布点方法（采样点不少于5个）。</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将多点采集的土壤样品除去石块、草根等杂物，现场混合后取1-2kg样品装在塑料袋内密封。</w:t>
      </w:r>
    </w:p>
    <w:p>
      <w:pPr>
        <w:spacing w:line="500" w:lineRule="exact"/>
        <w:ind w:firstLine="482" w:firstLineChars="200"/>
        <w:jc w:val="left"/>
        <w:rPr>
          <w:rFonts w:ascii="Times New Roman" w:hAnsi="Times New Roman" w:cs="Times New Roman"/>
          <w:b/>
          <w:color w:val="000000" w:themeColor="text1"/>
          <w:kern w:val="0"/>
          <w:sz w:val="24"/>
          <w:szCs w:val="24"/>
        </w:rPr>
      </w:pPr>
      <w:bookmarkStart w:id="778" w:name="_Toc27729_WPSOffice_Level3"/>
      <w:bookmarkStart w:id="779" w:name="_Toc11577_WPSOffice_Level3"/>
      <w:bookmarkStart w:id="780" w:name="_Toc5610_WPSOffice_Level3"/>
      <w:bookmarkStart w:id="781" w:name="_Toc6567_WPSOffice_Level3"/>
      <w:bookmarkStart w:id="782" w:name="_Toc19551_WPSOffice_Level3"/>
      <w:r>
        <w:rPr>
          <w:rFonts w:ascii="Times New Roman" w:hAnsi="Times New Roman" w:cs="Times New Roman"/>
          <w:b/>
          <w:color w:val="000000" w:themeColor="text1"/>
          <w:kern w:val="0"/>
          <w:sz w:val="24"/>
          <w:szCs w:val="24"/>
        </w:rPr>
        <w:t>（4）应急监测数据的统计处理</w:t>
      </w:r>
      <w:bookmarkEnd w:id="778"/>
      <w:bookmarkEnd w:id="779"/>
      <w:bookmarkEnd w:id="780"/>
      <w:bookmarkEnd w:id="781"/>
      <w:bookmarkEnd w:id="782"/>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①</w:t>
      </w:r>
      <w:r>
        <w:rPr>
          <w:rFonts w:ascii="Times New Roman" w:hAnsi="Times New Roman" w:cs="Times New Roman"/>
          <w:color w:val="000000" w:themeColor="text1"/>
          <w:kern w:val="0"/>
          <w:sz w:val="24"/>
          <w:szCs w:val="24"/>
        </w:rPr>
        <w:t>现场的原始记录</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要绘制事故现场的位置示意图，标出采样点位，记录发生时间，事故发生现场性状描述事故原因，事故持续时间，采样时间，必要的水文、气象参数，事故企业名称，联系方法，可能存在的污染物种类、流失量和影响范围。应在记录中按规定格式进行详细填写，监测任务完成后归档保存。</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原始记录的数据有误需要修改时，应在错误的数据上划上横线，再在错误的数据上方写上正确的数据，并在右下方盖章或签字，不准在原始记录上涂改或撕页。原始记录应有统一编号，个人不准擅自销毁。</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参加应急监测的人员必须持严肃认真的工作态度，对现场原始记录负责，做到及时记录信息，不应以回忆的方式填写。</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每次报出数据时前，原始记录上必须有测试人的签名。</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按常规的做法，监测数据汇总成表，经分析后编写成报告上报，需要一定的时间。为适应应急监测快速报告的需要，可采取边采样、边分析、边汇总、边报告的形式进行。</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现场监测记录是报告应急监测结果的重要依据之一，应按规范格式记录，保证信息的完整性，主要包括环境条件、分析项目、分析方法、分析日期、样品类型、仪器名称、仪器型号、仪器编号、测定结果、分析人员、校核人员、审核人员签名等。</w:t>
      </w:r>
    </w:p>
    <w:p>
      <w:pPr>
        <w:spacing w:line="500" w:lineRule="exact"/>
        <w:ind w:firstLine="482" w:firstLineChars="200"/>
        <w:jc w:val="left"/>
        <w:rPr>
          <w:rFonts w:ascii="Times New Roman" w:hAnsi="Times New Roman" w:cs="Times New Roman"/>
          <w:b/>
          <w:color w:val="000000" w:themeColor="text1"/>
          <w:kern w:val="0"/>
          <w:sz w:val="24"/>
          <w:szCs w:val="24"/>
        </w:rPr>
      </w:pPr>
      <w:bookmarkStart w:id="783" w:name="_Toc2865_WPSOffice_Level3"/>
      <w:bookmarkStart w:id="784" w:name="_Toc2978_WPSOffice_Level3"/>
      <w:bookmarkStart w:id="785" w:name="_Toc26198_WPSOffice_Level3"/>
      <w:bookmarkStart w:id="786" w:name="_Toc14653_WPSOffice_Level3"/>
      <w:bookmarkStart w:id="787" w:name="_Toc30299_WPSOffice_Level3"/>
      <w:r>
        <w:rPr>
          <w:rFonts w:ascii="Times New Roman" w:hAnsi="Times New Roman" w:cs="Times New Roman"/>
          <w:b/>
          <w:color w:val="000000" w:themeColor="text1"/>
          <w:kern w:val="0"/>
          <w:sz w:val="24"/>
          <w:szCs w:val="24"/>
        </w:rPr>
        <w:t>（5）应急监测报告内容</w:t>
      </w:r>
      <w:bookmarkEnd w:id="783"/>
      <w:bookmarkEnd w:id="784"/>
      <w:bookmarkEnd w:id="785"/>
      <w:bookmarkEnd w:id="786"/>
      <w:bookmarkEnd w:id="787"/>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应急监测报告速报、确报、最终确报几种形式。报告的手段可采用电话、传真、电子邮件、监测快报、简报、应急监测报告等方式进行。应根据现场情况和监测结果，编写现场监测报告并迅速上报同级环境保护主管部门和现场应急指挥中心。重大、特大污染事故除报当地环境保护行政主管部门及上一级环境监测站外，还应直接报中国环境监测总站。应急监测报告的主要内容包括：</w:t>
      </w:r>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①</w:t>
      </w:r>
      <w:r>
        <w:rPr>
          <w:rFonts w:ascii="Times New Roman" w:hAnsi="Times New Roman" w:cs="Times New Roman"/>
          <w:color w:val="000000" w:themeColor="text1"/>
          <w:kern w:val="0"/>
          <w:sz w:val="24"/>
          <w:szCs w:val="24"/>
        </w:rPr>
        <w:t>事故发生的时间，接到通知的时间，到达现场监测时间；</w:t>
      </w:r>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②</w:t>
      </w:r>
      <w:r>
        <w:rPr>
          <w:rFonts w:ascii="Times New Roman" w:hAnsi="Times New Roman" w:cs="Times New Roman"/>
          <w:color w:val="000000" w:themeColor="text1"/>
          <w:kern w:val="0"/>
          <w:sz w:val="24"/>
          <w:szCs w:val="24"/>
        </w:rPr>
        <w:t>事故发生的具体地点及周边的自然环境；</w:t>
      </w:r>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③</w:t>
      </w:r>
      <w:r>
        <w:rPr>
          <w:rFonts w:ascii="Times New Roman" w:hAnsi="Times New Roman" w:cs="Times New Roman"/>
          <w:color w:val="000000" w:themeColor="text1"/>
          <w:kern w:val="0"/>
          <w:sz w:val="24"/>
          <w:szCs w:val="24"/>
        </w:rPr>
        <w:t>事故发生的性质与类型；</w:t>
      </w:r>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④</w:t>
      </w:r>
      <w:r>
        <w:rPr>
          <w:rFonts w:ascii="Times New Roman" w:hAnsi="Times New Roman" w:cs="Times New Roman"/>
          <w:color w:val="000000" w:themeColor="text1"/>
          <w:kern w:val="0"/>
          <w:sz w:val="24"/>
          <w:szCs w:val="24"/>
        </w:rPr>
        <w:t>采样断面（点位）、监测频次、监测方法；</w:t>
      </w:r>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⑤</w:t>
      </w:r>
      <w:r>
        <w:rPr>
          <w:rFonts w:ascii="Times New Roman" w:hAnsi="Times New Roman" w:cs="Times New Roman"/>
          <w:color w:val="000000" w:themeColor="text1"/>
          <w:kern w:val="0"/>
          <w:sz w:val="24"/>
          <w:szCs w:val="24"/>
        </w:rPr>
        <w:t>污染事故的性质，主要污染物的种类、排放量、浓度及影响范围；</w:t>
      </w:r>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⑥</w:t>
      </w:r>
      <w:r>
        <w:rPr>
          <w:rFonts w:ascii="Times New Roman" w:hAnsi="Times New Roman" w:cs="Times New Roman"/>
          <w:color w:val="000000" w:themeColor="text1"/>
          <w:kern w:val="0"/>
          <w:sz w:val="24"/>
          <w:szCs w:val="24"/>
        </w:rPr>
        <w:t>污染事故的危害与损失，包括人员伤亡、事故原因等；</w:t>
      </w:r>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⑦</w:t>
      </w:r>
      <w:r>
        <w:rPr>
          <w:rFonts w:ascii="Times New Roman" w:hAnsi="Times New Roman" w:cs="Times New Roman"/>
          <w:color w:val="000000" w:themeColor="text1"/>
          <w:kern w:val="0"/>
          <w:sz w:val="24"/>
          <w:szCs w:val="24"/>
        </w:rPr>
        <w:t>简要说明污染物的危害特性及处理处置建议；</w:t>
      </w:r>
    </w:p>
    <w:p>
      <w:pPr>
        <w:spacing w:line="500" w:lineRule="exact"/>
        <w:ind w:firstLine="480" w:firstLineChars="200"/>
        <w:jc w:val="left"/>
        <w:rPr>
          <w:rFonts w:ascii="Times New Roman" w:hAnsi="Times New Roman" w:cs="Times New Roman"/>
          <w:color w:val="000000" w:themeColor="text1"/>
          <w:kern w:val="0"/>
          <w:sz w:val="24"/>
          <w:szCs w:val="24"/>
        </w:rPr>
      </w:pPr>
      <w:r>
        <w:rPr>
          <w:rFonts w:hint="eastAsia" w:ascii="宋体" w:hAnsi="宋体" w:eastAsia="宋体" w:cs="宋体"/>
          <w:color w:val="000000" w:themeColor="text1"/>
          <w:kern w:val="0"/>
          <w:sz w:val="24"/>
          <w:szCs w:val="24"/>
        </w:rPr>
        <w:t>⑧</w:t>
      </w:r>
      <w:r>
        <w:rPr>
          <w:rFonts w:ascii="Times New Roman" w:hAnsi="Times New Roman" w:cs="Times New Roman"/>
          <w:color w:val="000000" w:themeColor="text1"/>
          <w:kern w:val="0"/>
          <w:sz w:val="24"/>
          <w:szCs w:val="24"/>
        </w:rPr>
        <w:t>应急监测现场负责人签字。</w:t>
      </w:r>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788" w:name="_Toc24179"/>
      <w:bookmarkStart w:id="789" w:name="_Toc14329"/>
      <w:bookmarkStart w:id="790" w:name="_Toc13894_WPSOffice_Level2"/>
      <w:bookmarkStart w:id="791" w:name="_Toc29220"/>
      <w:bookmarkStart w:id="792" w:name="_Toc24668_WPSOffice_Level2"/>
      <w:bookmarkStart w:id="793" w:name="_Toc8805_WPSOffice_Level2"/>
      <w:bookmarkStart w:id="794" w:name="_Toc30299_WPSOffice_Level2"/>
      <w:bookmarkStart w:id="795" w:name="_Toc27287"/>
      <w:bookmarkStart w:id="796" w:name="_Toc27314_WPSOffice_Level2"/>
      <w:r>
        <w:rPr>
          <w:rFonts w:ascii="Times New Roman" w:hAnsi="Times New Roman" w:cs="Times New Roman"/>
          <w:b/>
          <w:bCs/>
          <w:color w:val="000000" w:themeColor="text1"/>
          <w:sz w:val="24"/>
          <w:szCs w:val="24"/>
        </w:rPr>
        <w:t>7.5应急</w:t>
      </w:r>
      <w:bookmarkEnd w:id="701"/>
      <w:r>
        <w:rPr>
          <w:rFonts w:ascii="Times New Roman" w:hAnsi="Times New Roman" w:cs="Times New Roman"/>
          <w:b/>
          <w:bCs/>
          <w:color w:val="000000" w:themeColor="text1"/>
          <w:sz w:val="24"/>
          <w:szCs w:val="24"/>
        </w:rPr>
        <w:t>终止</w:t>
      </w:r>
      <w:bookmarkEnd w:id="788"/>
      <w:bookmarkEnd w:id="789"/>
      <w:bookmarkEnd w:id="790"/>
      <w:bookmarkEnd w:id="791"/>
      <w:bookmarkEnd w:id="792"/>
      <w:bookmarkEnd w:id="793"/>
      <w:bookmarkEnd w:id="794"/>
      <w:bookmarkEnd w:id="795"/>
      <w:bookmarkEnd w:id="796"/>
    </w:p>
    <w:p>
      <w:pPr>
        <w:spacing w:line="500" w:lineRule="exact"/>
        <w:ind w:firstLine="482" w:firstLineChars="200"/>
        <w:jc w:val="left"/>
        <w:rPr>
          <w:rFonts w:ascii="Times New Roman" w:hAnsi="Times New Roman" w:cs="Times New Roman"/>
          <w:b/>
          <w:color w:val="000000" w:themeColor="text1"/>
          <w:kern w:val="0"/>
          <w:sz w:val="24"/>
          <w:szCs w:val="24"/>
        </w:rPr>
      </w:pPr>
      <w:bookmarkStart w:id="797" w:name="_Toc7943_WPSOffice_Level3"/>
      <w:bookmarkStart w:id="798" w:name="_Toc14712_WPSOffice_Level3"/>
      <w:bookmarkStart w:id="799" w:name="_Toc4323_WPSOffice_Level3"/>
      <w:bookmarkStart w:id="800" w:name="_Toc8279_WPSOffice_Level3"/>
      <w:bookmarkStart w:id="801" w:name="_Toc1655_WPSOffice_Level3"/>
      <w:r>
        <w:rPr>
          <w:rFonts w:ascii="Times New Roman" w:hAnsi="Times New Roman" w:cs="Times New Roman"/>
          <w:b/>
          <w:color w:val="000000" w:themeColor="text1"/>
          <w:kern w:val="0"/>
          <w:sz w:val="24"/>
          <w:szCs w:val="24"/>
        </w:rPr>
        <w:t>（1）应急终止条件</w:t>
      </w:r>
      <w:bookmarkEnd w:id="797"/>
      <w:bookmarkEnd w:id="798"/>
      <w:bookmarkEnd w:id="799"/>
      <w:bookmarkEnd w:id="800"/>
      <w:bookmarkEnd w:id="801"/>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符合下列条件之一的，即满足应急终止条件：</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1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①</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事故现场得到控制，事故条件已经消除；</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2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②</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污染源的泄漏或释放已降至规定限值以内；</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3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③</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事故所造成的危害已经被彻底消除，无继发可能；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4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④</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事故现场的各种专业应急处置行动已无继续的必要；</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5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⑤</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采取了必要的防护措施以保护公众免受再次危害，并使事件可能引起的中长期影响趋于合理且尽量低的水平。</w:t>
      </w:r>
    </w:p>
    <w:p>
      <w:pPr>
        <w:spacing w:line="500" w:lineRule="exact"/>
        <w:ind w:firstLine="482" w:firstLineChars="200"/>
        <w:jc w:val="left"/>
        <w:rPr>
          <w:rFonts w:ascii="Times New Roman" w:hAnsi="Times New Roman" w:cs="Times New Roman"/>
          <w:b/>
          <w:color w:val="000000" w:themeColor="text1"/>
          <w:kern w:val="0"/>
          <w:sz w:val="24"/>
          <w:szCs w:val="24"/>
        </w:rPr>
      </w:pPr>
      <w:bookmarkStart w:id="802" w:name="_Toc9024_WPSOffice_Level3"/>
      <w:bookmarkStart w:id="803" w:name="_Toc28169_WPSOffice_Level3"/>
      <w:bookmarkStart w:id="804" w:name="_Toc16140_WPSOffice_Level3"/>
      <w:bookmarkStart w:id="805" w:name="_Toc10158_WPSOffice_Level3"/>
      <w:bookmarkStart w:id="806" w:name="_Toc28024_WPSOffice_Level3"/>
      <w:r>
        <w:rPr>
          <w:rFonts w:ascii="Times New Roman" w:hAnsi="Times New Roman" w:cs="Times New Roman"/>
          <w:b/>
          <w:color w:val="000000" w:themeColor="text1"/>
          <w:kern w:val="0"/>
          <w:sz w:val="24"/>
          <w:szCs w:val="24"/>
        </w:rPr>
        <w:t>（2）应急终止程序</w:t>
      </w:r>
      <w:bookmarkEnd w:id="802"/>
      <w:bookmarkEnd w:id="803"/>
      <w:bookmarkEnd w:id="804"/>
      <w:bookmarkEnd w:id="805"/>
      <w:bookmarkEnd w:id="806"/>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1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①</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现场救援指挥部确认终止时机，或事件责任单位提出，经现场救援指挥部批准；</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2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②</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现场救援指挥部向所属各专业应急救援队伍下达应急终止命令；</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3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rPr>
        <w:t>③</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lang w:val="zh-CN"/>
        </w:rPr>
        <w:t>应急状态终止后，相关类别环境事件专业应急指挥部应根据公司有关指示和实际情况，继续进行环境监测和评价工作，直至其他补救措施无需继续进行为止。</w:t>
      </w:r>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807" w:name="_Toc19554"/>
      <w:bookmarkStart w:id="808" w:name="_Toc5278"/>
      <w:bookmarkStart w:id="809" w:name="_Toc5038"/>
      <w:bookmarkStart w:id="810" w:name="_Toc19028_WPSOffice_Level2"/>
      <w:bookmarkStart w:id="811" w:name="_Toc3603_WPSOffice_Level2"/>
      <w:bookmarkStart w:id="812" w:name="_Toc29892_WPSOffice_Level2"/>
      <w:bookmarkStart w:id="813" w:name="_Toc787"/>
      <w:bookmarkStart w:id="814" w:name="_Toc25049_WPSOffice_Level2"/>
      <w:bookmarkStart w:id="815" w:name="_Toc13933_WPSOffice_Level2"/>
      <w:r>
        <w:rPr>
          <w:rFonts w:ascii="Times New Roman" w:hAnsi="Times New Roman" w:cs="Times New Roman"/>
          <w:b/>
          <w:bCs/>
          <w:color w:val="000000" w:themeColor="text1"/>
          <w:sz w:val="24"/>
          <w:szCs w:val="24"/>
        </w:rPr>
        <w:t>7.6应急终止后的行动</w:t>
      </w:r>
      <w:bookmarkEnd w:id="807"/>
      <w:bookmarkEnd w:id="808"/>
      <w:bookmarkEnd w:id="809"/>
      <w:bookmarkEnd w:id="810"/>
      <w:bookmarkEnd w:id="811"/>
      <w:bookmarkEnd w:id="812"/>
      <w:bookmarkEnd w:id="813"/>
      <w:bookmarkEnd w:id="814"/>
      <w:bookmarkEnd w:id="815"/>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1</w:t>
      </w:r>
      <w:r>
        <w:rPr>
          <w:rFonts w:ascii="Times New Roman" w:hAnsi="Times New Roman" w:cs="Times New Roman"/>
          <w:color w:val="000000" w:themeColor="text1"/>
          <w:kern w:val="0"/>
          <w:sz w:val="24"/>
          <w:szCs w:val="24"/>
          <w:lang w:val="zh-CN"/>
        </w:rPr>
        <w:t>）环境应急指挥部指导有关部门及突发环境事件单位查找事件原因，防止类似问题的重复出现。</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2</w:t>
      </w:r>
      <w:r>
        <w:rPr>
          <w:rFonts w:ascii="Times New Roman" w:hAnsi="Times New Roman" w:cs="Times New Roman"/>
          <w:color w:val="000000" w:themeColor="text1"/>
          <w:kern w:val="0"/>
          <w:sz w:val="24"/>
          <w:szCs w:val="24"/>
          <w:lang w:val="zh-CN"/>
        </w:rPr>
        <w:t>）有关类别环境事件专业主管部门负责编制特别重大、重大环境事件总结报告，于应急终止后上报。</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3</w:t>
      </w:r>
      <w:r>
        <w:rPr>
          <w:rFonts w:ascii="Times New Roman" w:hAnsi="Times New Roman" w:cs="Times New Roman"/>
          <w:color w:val="000000" w:themeColor="text1"/>
          <w:kern w:val="0"/>
          <w:sz w:val="24"/>
          <w:szCs w:val="24"/>
          <w:lang w:val="zh-CN"/>
        </w:rPr>
        <w:t>）应急过程评价。由加油站应急救援办公室或当地环保部门组织有关专家，会同事发地相关部门组织实施。</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4</w:t>
      </w:r>
      <w:r>
        <w:rPr>
          <w:rFonts w:ascii="Times New Roman" w:hAnsi="Times New Roman" w:cs="Times New Roman"/>
          <w:color w:val="000000" w:themeColor="text1"/>
          <w:kern w:val="0"/>
          <w:sz w:val="24"/>
          <w:szCs w:val="24"/>
          <w:lang w:val="zh-CN"/>
        </w:rPr>
        <w:t>）根据实践经验，有关类别环境事件专业主管部门负责组织对应急预案进行评估，并及时修订环境应急预案。</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5</w:t>
      </w:r>
      <w:r>
        <w:rPr>
          <w:rFonts w:ascii="Times New Roman" w:hAnsi="Times New Roman" w:cs="Times New Roman"/>
          <w:color w:val="000000" w:themeColor="text1"/>
          <w:kern w:val="0"/>
          <w:sz w:val="24"/>
          <w:szCs w:val="24"/>
          <w:lang w:val="zh-CN"/>
        </w:rPr>
        <w:t>）参加应急行动的部门负责组织、指导环境应急队伍维护、保养应急仪器设备，使之始终保持良好的技术状态。</w:t>
      </w:r>
      <w:bookmarkStart w:id="816" w:name="_Toc20020"/>
    </w:p>
    <w:p>
      <w:pPr>
        <w:keepNext/>
        <w:keepLines/>
        <w:spacing w:beforeLines="50" w:afterLines="50" w:line="500" w:lineRule="exact"/>
        <w:jc w:val="left"/>
        <w:outlineLvl w:val="1"/>
        <w:rPr>
          <w:rFonts w:ascii="Times New Roman" w:hAnsi="Times New Roman" w:cs="Times New Roman"/>
          <w:b/>
          <w:bCs/>
          <w:color w:val="000000" w:themeColor="text1"/>
          <w:sz w:val="24"/>
          <w:szCs w:val="24"/>
          <w:lang w:val="zh-CN"/>
        </w:rPr>
      </w:pPr>
      <w:bookmarkStart w:id="817" w:name="_Toc4588"/>
      <w:bookmarkStart w:id="818" w:name="_Toc74_WPSOffice_Level2"/>
      <w:bookmarkStart w:id="819" w:name="_Toc8539_WPSOffice_Level2"/>
      <w:bookmarkStart w:id="820" w:name="_Toc31093"/>
      <w:bookmarkStart w:id="821" w:name="_Toc25148_WPSOffice_Level2"/>
      <w:bookmarkStart w:id="822" w:name="_Toc29776_WPSOffice_Level2"/>
      <w:bookmarkStart w:id="823" w:name="_Toc2964_WPSOffice_Level2"/>
      <w:bookmarkStart w:id="824" w:name="_Toc9606"/>
      <w:bookmarkStart w:id="825" w:name="_Toc5490"/>
      <w:r>
        <w:rPr>
          <w:rFonts w:ascii="Times New Roman" w:hAnsi="Times New Roman" w:cs="Times New Roman"/>
          <w:b/>
          <w:bCs/>
          <w:color w:val="000000" w:themeColor="text1"/>
          <w:sz w:val="24"/>
          <w:szCs w:val="24"/>
        </w:rPr>
        <w:t>7.7应急</w:t>
      </w:r>
      <w:bookmarkEnd w:id="817"/>
      <w:r>
        <w:rPr>
          <w:rFonts w:ascii="Times New Roman" w:hAnsi="Times New Roman" w:cs="Times New Roman"/>
          <w:b/>
          <w:bCs/>
          <w:color w:val="000000" w:themeColor="text1"/>
          <w:sz w:val="24"/>
          <w:szCs w:val="24"/>
        </w:rPr>
        <w:t>安全</w:t>
      </w:r>
      <w:bookmarkEnd w:id="818"/>
      <w:bookmarkEnd w:id="819"/>
      <w:bookmarkEnd w:id="820"/>
      <w:bookmarkEnd w:id="821"/>
      <w:bookmarkEnd w:id="822"/>
      <w:bookmarkEnd w:id="823"/>
      <w:bookmarkEnd w:id="824"/>
      <w:bookmarkEnd w:id="825"/>
    </w:p>
    <w:bookmarkEnd w:id="816"/>
    <w:p>
      <w:pPr>
        <w:keepNext/>
        <w:keepLines/>
        <w:spacing w:before="240" w:after="240" w:line="500" w:lineRule="exact"/>
        <w:jc w:val="left"/>
        <w:outlineLvl w:val="2"/>
        <w:rPr>
          <w:rFonts w:ascii="Times New Roman" w:hAnsi="Times New Roman" w:cs="Times New Roman"/>
          <w:b/>
          <w:color w:val="000000" w:themeColor="text1"/>
          <w:sz w:val="24"/>
          <w:szCs w:val="24"/>
        </w:rPr>
      </w:pPr>
      <w:bookmarkStart w:id="826" w:name="_Toc12542"/>
      <w:bookmarkStart w:id="827" w:name="_Toc16150_WPSOffice_Level3"/>
      <w:bookmarkStart w:id="828" w:name="_Toc27451_WPSOffice_Level3"/>
      <w:bookmarkStart w:id="829" w:name="_Toc4102_WPSOffice_Level3"/>
      <w:bookmarkStart w:id="830" w:name="_Toc29776_WPSOffice_Level3"/>
      <w:bookmarkStart w:id="831" w:name="_Toc24098_WPSOffice_Level3"/>
      <w:bookmarkStart w:id="832" w:name="_Toc2836"/>
      <w:bookmarkStart w:id="833" w:name="_Toc21579"/>
      <w:bookmarkStart w:id="834" w:name="_Toc24015"/>
      <w:r>
        <w:rPr>
          <w:rFonts w:ascii="Times New Roman" w:hAnsi="Times New Roman" w:cs="Times New Roman"/>
          <w:b/>
          <w:color w:val="000000" w:themeColor="text1"/>
          <w:sz w:val="24"/>
          <w:szCs w:val="24"/>
        </w:rPr>
        <w:t>7.7.1应急人员的安全防护</w:t>
      </w:r>
      <w:bookmarkEnd w:id="826"/>
      <w:bookmarkEnd w:id="827"/>
      <w:bookmarkEnd w:id="828"/>
      <w:bookmarkEnd w:id="829"/>
      <w:bookmarkEnd w:id="830"/>
      <w:bookmarkEnd w:id="831"/>
      <w:bookmarkEnd w:id="832"/>
      <w:bookmarkEnd w:id="833"/>
      <w:bookmarkEnd w:id="834"/>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突发环境事件应急领导小组统一购置环保安全现场处置人员相应的专业防护装备，分发各个环保安全人员保管。</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突发环境事件应急领导小组定期组织环保安全人员进行培训和演练，培训内容主要包括安全防护措施及现场处理，并对对应急人员出入事发现场程序进行演练。</w:t>
      </w:r>
    </w:p>
    <w:p>
      <w:pPr>
        <w:keepNext/>
        <w:keepLines/>
        <w:spacing w:before="240" w:after="240" w:line="500" w:lineRule="exact"/>
        <w:jc w:val="left"/>
        <w:outlineLvl w:val="2"/>
        <w:rPr>
          <w:rFonts w:ascii="Times New Roman" w:hAnsi="Times New Roman" w:cs="Times New Roman"/>
          <w:b/>
          <w:color w:val="000000" w:themeColor="text1"/>
          <w:sz w:val="24"/>
          <w:szCs w:val="24"/>
        </w:rPr>
      </w:pPr>
      <w:bookmarkStart w:id="835" w:name="_Toc14868"/>
      <w:bookmarkStart w:id="836" w:name="_Toc22929"/>
      <w:bookmarkStart w:id="837" w:name="_Toc14826"/>
      <w:bookmarkStart w:id="838" w:name="_Toc6595_WPSOffice_Level3"/>
      <w:bookmarkStart w:id="839" w:name="_Toc7757_WPSOffice_Level3"/>
      <w:bookmarkStart w:id="840" w:name="_Toc23752"/>
      <w:bookmarkStart w:id="841" w:name="_Toc3235_WPSOffice_Level3"/>
      <w:bookmarkStart w:id="842" w:name="_Toc14134_WPSOffice_Level3"/>
      <w:bookmarkStart w:id="843" w:name="_Toc11037_WPSOffice_Level3"/>
      <w:r>
        <w:rPr>
          <w:rFonts w:ascii="Times New Roman" w:hAnsi="Times New Roman" w:cs="Times New Roman"/>
          <w:b/>
          <w:color w:val="000000" w:themeColor="text1"/>
          <w:sz w:val="24"/>
          <w:szCs w:val="24"/>
        </w:rPr>
        <w:t>7.7.2受灾群众的安全防护</w:t>
      </w:r>
      <w:bookmarkEnd w:id="835"/>
      <w:bookmarkEnd w:id="836"/>
      <w:bookmarkEnd w:id="837"/>
      <w:bookmarkEnd w:id="838"/>
      <w:bookmarkEnd w:id="839"/>
      <w:bookmarkEnd w:id="840"/>
      <w:bookmarkEnd w:id="841"/>
      <w:bookmarkEnd w:id="842"/>
      <w:bookmarkEnd w:id="843"/>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根据突发重大环境事件的性质、特点，及时告知周围群众并采取相应安全防护措施，请求上级部门进行支援。</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根据事发时当地的气象、地理环境、人员密集度等，确定群众疏散的方式，指定有关部门组织群众安全疏散撤离；</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在事发地安全边界以外，设立紧急避难场所。</w:t>
      </w:r>
    </w:p>
    <w:p>
      <w:pPr>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br w:type="page"/>
      </w:r>
    </w:p>
    <w:p>
      <w:pPr>
        <w:keepNext/>
        <w:keepLines/>
        <w:spacing w:beforeLines="100" w:afterLines="100" w:line="500" w:lineRule="exact"/>
        <w:jc w:val="center"/>
        <w:outlineLvl w:val="0"/>
        <w:rPr>
          <w:rFonts w:ascii="Times New Roman" w:hAnsi="Times New Roman" w:cs="Times New Roman"/>
          <w:b/>
          <w:bCs/>
          <w:color w:val="000000" w:themeColor="text1"/>
          <w:kern w:val="44"/>
          <w:sz w:val="30"/>
          <w:szCs w:val="30"/>
        </w:rPr>
      </w:pPr>
      <w:bookmarkStart w:id="844" w:name="_Toc14446"/>
      <w:bookmarkStart w:id="845" w:name="_Toc2311"/>
      <w:bookmarkStart w:id="846" w:name="_Toc21755_WPSOffice_Level1"/>
      <w:bookmarkStart w:id="847" w:name="_Toc5273"/>
      <w:bookmarkStart w:id="848" w:name="_Toc15176"/>
      <w:bookmarkStart w:id="849" w:name="_Toc30056_WPSOffice_Level1"/>
      <w:bookmarkStart w:id="850" w:name="_Toc7757_WPSOffice_Level1"/>
      <w:bookmarkStart w:id="851" w:name="_Toc20158_WPSOffice_Level1"/>
      <w:bookmarkStart w:id="852" w:name="_Toc22846"/>
      <w:bookmarkStart w:id="853" w:name="_Toc18784_WPSOffice_Level1"/>
      <w:r>
        <w:rPr>
          <w:rFonts w:ascii="Times New Roman" w:hAnsi="Times New Roman" w:cs="Times New Roman"/>
          <w:b/>
          <w:bCs/>
          <w:color w:val="000000" w:themeColor="text1"/>
          <w:kern w:val="44"/>
          <w:sz w:val="30"/>
          <w:szCs w:val="30"/>
        </w:rPr>
        <w:t>8、保障</w:t>
      </w:r>
      <w:bookmarkEnd w:id="844"/>
      <w:r>
        <w:rPr>
          <w:rFonts w:ascii="Times New Roman" w:hAnsi="Times New Roman" w:cs="Times New Roman"/>
          <w:b/>
          <w:bCs/>
          <w:color w:val="000000" w:themeColor="text1"/>
          <w:kern w:val="44"/>
          <w:sz w:val="30"/>
          <w:szCs w:val="30"/>
        </w:rPr>
        <w:t>措施</w:t>
      </w:r>
      <w:bookmarkEnd w:id="845"/>
      <w:bookmarkEnd w:id="846"/>
      <w:bookmarkEnd w:id="847"/>
      <w:bookmarkEnd w:id="848"/>
      <w:bookmarkEnd w:id="849"/>
      <w:bookmarkEnd w:id="850"/>
      <w:bookmarkEnd w:id="851"/>
      <w:bookmarkEnd w:id="852"/>
      <w:bookmarkEnd w:id="853"/>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854" w:name="_Toc15556_WPSOffice_Level2"/>
      <w:bookmarkStart w:id="855" w:name="_Toc26783_WPSOffice_Level2"/>
      <w:bookmarkStart w:id="856" w:name="_Toc641_WPSOffice_Level2"/>
      <w:bookmarkStart w:id="857" w:name="_Toc30980"/>
      <w:bookmarkStart w:id="858" w:name="_Toc17795"/>
      <w:bookmarkStart w:id="859" w:name="_Toc30564"/>
      <w:bookmarkStart w:id="860" w:name="_Toc27883"/>
      <w:bookmarkStart w:id="861" w:name="_Toc18505_WPSOffice_Level2"/>
      <w:bookmarkStart w:id="862" w:name="_Toc1412_WPSOffice_Level2"/>
      <w:bookmarkStart w:id="863" w:name="_Toc24065"/>
      <w:bookmarkStart w:id="864" w:name="_Toc304896961"/>
      <w:r>
        <w:rPr>
          <w:rFonts w:ascii="Times New Roman" w:hAnsi="Times New Roman" w:cs="Times New Roman"/>
          <w:b/>
          <w:bCs/>
          <w:color w:val="000000" w:themeColor="text1"/>
          <w:sz w:val="24"/>
          <w:szCs w:val="24"/>
        </w:rPr>
        <w:t>8.1通信与信息保障</w:t>
      </w:r>
      <w:bookmarkEnd w:id="854"/>
      <w:bookmarkEnd w:id="855"/>
      <w:bookmarkEnd w:id="856"/>
      <w:bookmarkEnd w:id="857"/>
      <w:bookmarkEnd w:id="858"/>
      <w:bookmarkEnd w:id="859"/>
      <w:bookmarkEnd w:id="860"/>
      <w:bookmarkEnd w:id="861"/>
      <w:bookmarkEnd w:id="862"/>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一旦发生事故，加油站内部使用加油站内部电话联系，外部使用移动电话、固定电话等。</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lang w:val="zh-CN"/>
        </w:rPr>
        <w:t>应急领导小组设置24小时应急电话，并有专人值守，各个应急领导小组成员电话务必24小时处于可以接通状态。联系方式见附件</w:t>
      </w:r>
      <w:r>
        <w:rPr>
          <w:rFonts w:ascii="Times New Roman" w:hAnsi="Times New Roman" w:cs="Times New Roman"/>
          <w:color w:val="000000" w:themeColor="text1"/>
          <w:kern w:val="0"/>
          <w:sz w:val="24"/>
          <w:szCs w:val="24"/>
        </w:rPr>
        <w:t>5</w:t>
      </w:r>
      <w:r>
        <w:rPr>
          <w:rFonts w:ascii="Times New Roman" w:hAnsi="Times New Roman" w:cs="Times New Roman"/>
          <w:color w:val="000000" w:themeColor="text1"/>
          <w:kern w:val="0"/>
          <w:sz w:val="24"/>
          <w:szCs w:val="24"/>
          <w:lang w:val="zh-CN"/>
        </w:rPr>
        <w:t>：</w:t>
      </w:r>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865" w:name="_Toc30262"/>
      <w:bookmarkStart w:id="866" w:name="_Toc1353_WPSOffice_Level2"/>
      <w:bookmarkStart w:id="867" w:name="_Toc12119_WPSOffice_Level2"/>
      <w:bookmarkStart w:id="868" w:name="_Toc5121"/>
      <w:bookmarkStart w:id="869" w:name="_Toc28867"/>
      <w:bookmarkStart w:id="870" w:name="_Toc25446_WPSOffice_Level2"/>
      <w:bookmarkStart w:id="871" w:name="_Toc29253_WPSOffice_Level2"/>
      <w:bookmarkStart w:id="872" w:name="_Toc12250"/>
      <w:bookmarkStart w:id="873" w:name="_Toc11026_WPSOffice_Level2"/>
      <w:r>
        <w:rPr>
          <w:rFonts w:ascii="Times New Roman" w:hAnsi="Times New Roman" w:cs="Times New Roman"/>
          <w:b/>
          <w:bCs/>
          <w:color w:val="000000" w:themeColor="text1"/>
          <w:sz w:val="24"/>
          <w:szCs w:val="24"/>
        </w:rPr>
        <w:t>8.2应急队伍保障</w:t>
      </w:r>
      <w:bookmarkEnd w:id="863"/>
      <w:bookmarkEnd w:id="864"/>
      <w:bookmarkEnd w:id="865"/>
      <w:bookmarkEnd w:id="866"/>
      <w:bookmarkEnd w:id="867"/>
      <w:bookmarkEnd w:id="868"/>
      <w:bookmarkEnd w:id="869"/>
      <w:bookmarkEnd w:id="870"/>
      <w:bookmarkEnd w:id="871"/>
      <w:bookmarkEnd w:id="872"/>
      <w:bookmarkEnd w:id="873"/>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（1）</w:t>
      </w:r>
      <w:r>
        <w:rPr>
          <w:rFonts w:ascii="Times New Roman" w:hAnsi="Times New Roman" w:cs="Times New Roman"/>
          <w:color w:val="000000" w:themeColor="text1"/>
          <w:kern w:val="0"/>
          <w:sz w:val="24"/>
          <w:szCs w:val="24"/>
          <w:lang w:val="zh-CN"/>
        </w:rPr>
        <w:t>成立突发环境事件应急领导小组，分别对加油站废水、危险废物、汽油等储存区、加油区设立专门的环保管理队伍，设有环保应急后勤管理队伍；</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（2）</w:t>
      </w:r>
      <w:r>
        <w:rPr>
          <w:rFonts w:ascii="Times New Roman" w:hAnsi="Times New Roman" w:cs="Times New Roman"/>
          <w:color w:val="000000" w:themeColor="text1"/>
          <w:kern w:val="0"/>
          <w:sz w:val="24"/>
          <w:szCs w:val="24"/>
          <w:lang w:val="zh-CN"/>
        </w:rPr>
        <w:t>定期进行突发环保事件应急救援单项演练、综合演练；</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（3）</w:t>
      </w:r>
      <w:r>
        <w:rPr>
          <w:rFonts w:ascii="Times New Roman" w:hAnsi="Times New Roman" w:cs="Times New Roman"/>
          <w:color w:val="000000" w:themeColor="text1"/>
          <w:kern w:val="0"/>
          <w:sz w:val="24"/>
          <w:szCs w:val="24"/>
          <w:lang w:val="zh-CN"/>
        </w:rPr>
        <w:t>及时传达上级环保、安全及其他相关部门的要求及法律法规精神；</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（4）</w:t>
      </w:r>
      <w:r>
        <w:rPr>
          <w:rFonts w:ascii="Times New Roman" w:hAnsi="Times New Roman" w:cs="Times New Roman"/>
          <w:color w:val="000000" w:themeColor="text1"/>
          <w:kern w:val="0"/>
          <w:sz w:val="24"/>
          <w:szCs w:val="24"/>
          <w:lang w:val="zh-CN"/>
        </w:rPr>
        <w:t>有计划的向相关专家进行环保安全咨询服务。</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（5）</w:t>
      </w:r>
      <w:r>
        <w:rPr>
          <w:rFonts w:ascii="Times New Roman" w:hAnsi="Times New Roman" w:cs="Times New Roman"/>
          <w:color w:val="000000" w:themeColor="text1"/>
          <w:kern w:val="0"/>
          <w:sz w:val="24"/>
          <w:szCs w:val="24"/>
          <w:lang w:val="zh-CN"/>
        </w:rPr>
        <w:t>加大环保宣传力度。加油站为普及环境污染事件预防常识，编印、发放有毒有害物质污染公众防护宣传单，增强公众的防范意识和相关心理准备，提高公众的防范能力。</w:t>
      </w:r>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874" w:name="_Toc2057"/>
      <w:bookmarkStart w:id="875" w:name="_Toc22540"/>
      <w:bookmarkStart w:id="876" w:name="_Toc304896962"/>
      <w:bookmarkStart w:id="877" w:name="_Toc7595_WPSOffice_Level2"/>
      <w:bookmarkStart w:id="878" w:name="_Toc9268"/>
      <w:bookmarkStart w:id="879" w:name="_Toc23787"/>
      <w:bookmarkStart w:id="880" w:name="_Toc17206"/>
      <w:bookmarkStart w:id="881" w:name="_Toc14964_WPSOffice_Level2"/>
      <w:bookmarkStart w:id="882" w:name="_Toc6733_WPSOffice_Level2"/>
      <w:bookmarkStart w:id="883" w:name="_Toc19041_WPSOffice_Level2"/>
      <w:bookmarkStart w:id="884" w:name="_Toc8076_WPSOffice_Level2"/>
      <w:r>
        <w:rPr>
          <w:rFonts w:ascii="Times New Roman" w:hAnsi="Times New Roman" w:cs="Times New Roman"/>
          <w:b/>
          <w:bCs/>
          <w:color w:val="000000" w:themeColor="text1"/>
          <w:sz w:val="24"/>
          <w:szCs w:val="24"/>
        </w:rPr>
        <w:t>8.3应急物资装备保障</w:t>
      </w:r>
      <w:bookmarkEnd w:id="874"/>
      <w:bookmarkEnd w:id="875"/>
      <w:bookmarkEnd w:id="876"/>
      <w:bookmarkEnd w:id="877"/>
      <w:bookmarkEnd w:id="878"/>
      <w:bookmarkEnd w:id="879"/>
      <w:bookmarkEnd w:id="880"/>
      <w:bookmarkEnd w:id="881"/>
      <w:bookmarkEnd w:id="882"/>
      <w:bookmarkEnd w:id="883"/>
      <w:bookmarkEnd w:id="884"/>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1</w:t>
      </w:r>
      <w:r>
        <w:rPr>
          <w:rFonts w:ascii="Times New Roman" w:hAnsi="Times New Roman" w:cs="Times New Roman"/>
          <w:color w:val="000000" w:themeColor="text1"/>
          <w:kern w:val="0"/>
          <w:sz w:val="24"/>
          <w:szCs w:val="24"/>
          <w:lang w:val="zh-CN"/>
        </w:rPr>
        <w:t>）各环保队配有专门的环保安全防护器材，并由环保后勤保障组负责统一采购和发放；</w:t>
      </w:r>
      <w:r>
        <w:rPr>
          <w:rFonts w:ascii="Times New Roman" w:hAnsi="Times New Roman" w:cs="Times New Roman"/>
          <w:color w:val="000000" w:themeColor="text1"/>
          <w:kern w:val="0"/>
          <w:sz w:val="24"/>
          <w:szCs w:val="24"/>
        </w:rPr>
        <w:t>应急救援装备，物资药品（包括危险废物运输车辆的安全）、到期药品，器材及时更换，不足救援物资及时补齐，失效过期消防器材及时更换。</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w:t>
      </w:r>
      <w:r>
        <w:rPr>
          <w:rFonts w:ascii="Times New Roman" w:hAnsi="Times New Roman" w:cs="Times New Roman"/>
          <w:color w:val="000000" w:themeColor="text1"/>
          <w:kern w:val="0"/>
          <w:sz w:val="24"/>
          <w:szCs w:val="24"/>
        </w:rPr>
        <w:t>2</w:t>
      </w:r>
      <w:r>
        <w:rPr>
          <w:rFonts w:ascii="Times New Roman" w:hAnsi="Times New Roman" w:cs="Times New Roman"/>
          <w:color w:val="000000" w:themeColor="text1"/>
          <w:kern w:val="0"/>
          <w:sz w:val="24"/>
          <w:szCs w:val="24"/>
          <w:lang w:val="zh-CN"/>
        </w:rPr>
        <w:t>）按相关规范要求，加油站内配置消防沙、灭火器器材；加油人员配备的防护用品等。</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（3）应急电源，照明，加油站自备照明：8个。</w:t>
      </w:r>
    </w:p>
    <w:p>
      <w:pPr>
        <w:spacing w:line="500" w:lineRule="exact"/>
        <w:ind w:firstLine="480" w:firstLineChars="200"/>
        <w:jc w:val="left"/>
        <w:rPr>
          <w:rFonts w:ascii="Times New Roman" w:hAnsi="Times New Roman" w:cs="Times New Roman"/>
          <w:color w:val="000000" w:themeColor="text1"/>
          <w:kern w:val="0"/>
          <w:sz w:val="24"/>
          <w:szCs w:val="24"/>
        </w:rPr>
      </w:pPr>
      <w:bookmarkStart w:id="885" w:name="_Toc26877_WPSOffice_Level3"/>
      <w:bookmarkStart w:id="886" w:name="_Toc7234_WPSOffice_Level3"/>
      <w:bookmarkStart w:id="887" w:name="_Toc30581_WPSOffice_Level3"/>
      <w:bookmarkStart w:id="888" w:name="_Toc3683_WPSOffice_Level3"/>
      <w:bookmarkStart w:id="889" w:name="_Toc24259_WPSOffice_Level3"/>
      <w:r>
        <w:rPr>
          <w:rFonts w:ascii="Times New Roman" w:hAnsi="Times New Roman" w:cs="Times New Roman"/>
          <w:color w:val="000000" w:themeColor="text1"/>
          <w:kern w:val="0"/>
          <w:sz w:val="24"/>
          <w:szCs w:val="24"/>
        </w:rPr>
        <w:t>（5）应急救援装备，物资，药品等。</w:t>
      </w:r>
      <w:bookmarkEnd w:id="885"/>
      <w:bookmarkEnd w:id="886"/>
      <w:bookmarkEnd w:id="887"/>
      <w:bookmarkEnd w:id="888"/>
      <w:bookmarkEnd w:id="889"/>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890" w:name="_Toc27581"/>
      <w:bookmarkStart w:id="891" w:name="_Toc304896963"/>
      <w:bookmarkStart w:id="892" w:name="_Toc17982_WPSOffice_Level2"/>
      <w:bookmarkStart w:id="893" w:name="_Toc10182_WPSOffice_Level2"/>
      <w:bookmarkStart w:id="894" w:name="_Toc29972_WPSOffice_Level2"/>
      <w:bookmarkStart w:id="895" w:name="_Toc12589"/>
      <w:bookmarkStart w:id="896" w:name="_Toc30549_WPSOffice_Level2"/>
      <w:bookmarkStart w:id="897" w:name="_Toc20124"/>
      <w:bookmarkStart w:id="898" w:name="_Toc9323"/>
      <w:bookmarkStart w:id="899" w:name="_Toc6485"/>
      <w:bookmarkStart w:id="900" w:name="_Toc17886_WPSOffice_Level2"/>
      <w:r>
        <w:rPr>
          <w:rFonts w:ascii="Times New Roman" w:hAnsi="Times New Roman" w:cs="Times New Roman"/>
          <w:b/>
          <w:bCs/>
          <w:color w:val="000000" w:themeColor="text1"/>
          <w:sz w:val="24"/>
          <w:szCs w:val="24"/>
        </w:rPr>
        <w:t>8.</w:t>
      </w:r>
      <w:bookmarkEnd w:id="890"/>
      <w:bookmarkEnd w:id="891"/>
      <w:r>
        <w:rPr>
          <w:rFonts w:ascii="Times New Roman" w:hAnsi="Times New Roman" w:cs="Times New Roman"/>
          <w:b/>
          <w:bCs/>
          <w:color w:val="000000" w:themeColor="text1"/>
          <w:sz w:val="24"/>
          <w:szCs w:val="24"/>
        </w:rPr>
        <w:t>4经费保障</w:t>
      </w:r>
      <w:bookmarkEnd w:id="892"/>
      <w:bookmarkEnd w:id="893"/>
      <w:bookmarkEnd w:id="894"/>
      <w:bookmarkEnd w:id="895"/>
      <w:bookmarkEnd w:id="896"/>
      <w:bookmarkEnd w:id="897"/>
      <w:bookmarkEnd w:id="898"/>
      <w:bookmarkEnd w:id="899"/>
      <w:bookmarkEnd w:id="900"/>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应急救援指挥部由公司加油站站长负责管理和协调，每年安排专项资金保障《突发环境事件应急预案》的实施；保证在事故应急救援中，交通运输、受伤人员医疗、现场事故处理和维修技术等各方面所需资金的充足和合理利用。</w:t>
      </w:r>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901" w:name="_Toc304896964"/>
      <w:bookmarkStart w:id="902" w:name="_Toc7140"/>
      <w:bookmarkStart w:id="903" w:name="_Toc18104_WPSOffice_Level2"/>
      <w:bookmarkStart w:id="904" w:name="_Toc14482_WPSOffice_Level2"/>
      <w:bookmarkStart w:id="905" w:name="_Toc10390"/>
      <w:bookmarkStart w:id="906" w:name="_Toc16715"/>
      <w:bookmarkStart w:id="907" w:name="_Toc727"/>
      <w:bookmarkStart w:id="908" w:name="_Toc22001_WPSOffice_Level2"/>
      <w:bookmarkStart w:id="909" w:name="_Toc32238"/>
      <w:bookmarkStart w:id="910" w:name="_Toc25204_WPSOffice_Level2"/>
      <w:bookmarkStart w:id="911" w:name="_Toc21623_WPSOffice_Level2"/>
      <w:r>
        <w:rPr>
          <w:rFonts w:ascii="Times New Roman" w:hAnsi="Times New Roman" w:cs="Times New Roman"/>
          <w:b/>
          <w:bCs/>
          <w:color w:val="000000" w:themeColor="text1"/>
          <w:sz w:val="24"/>
          <w:szCs w:val="24"/>
        </w:rPr>
        <w:t>8.5应急技术</w:t>
      </w:r>
      <w:bookmarkEnd w:id="901"/>
      <w:bookmarkEnd w:id="902"/>
      <w:r>
        <w:rPr>
          <w:rFonts w:ascii="Times New Roman" w:hAnsi="Times New Roman" w:cs="Times New Roman"/>
          <w:b/>
          <w:bCs/>
          <w:color w:val="000000" w:themeColor="text1"/>
          <w:sz w:val="24"/>
          <w:szCs w:val="24"/>
        </w:rPr>
        <w:t>保障</w:t>
      </w:r>
      <w:bookmarkEnd w:id="903"/>
      <w:bookmarkEnd w:id="904"/>
      <w:bookmarkEnd w:id="905"/>
      <w:bookmarkEnd w:id="906"/>
      <w:bookmarkEnd w:id="907"/>
      <w:bookmarkEnd w:id="908"/>
      <w:bookmarkEnd w:id="909"/>
      <w:bookmarkEnd w:id="910"/>
      <w:bookmarkEnd w:id="911"/>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中国</w:t>
      </w:r>
      <w:r>
        <w:rPr>
          <w:rFonts w:hint="eastAsia" w:ascii="Times New Roman" w:hAnsi="Times New Roman" w:cs="Times New Roman"/>
          <w:color w:val="000000" w:themeColor="text1"/>
          <w:kern w:val="0"/>
          <w:sz w:val="24"/>
          <w:szCs w:val="24"/>
          <w:lang w:val="en-US" w:eastAsia="zh-CN"/>
        </w:rPr>
        <w:t>石油天然气</w:t>
      </w:r>
      <w:r>
        <w:rPr>
          <w:rFonts w:ascii="Times New Roman" w:hAnsi="Times New Roman" w:cs="Times New Roman"/>
          <w:color w:val="000000" w:themeColor="text1"/>
          <w:kern w:val="0"/>
          <w:sz w:val="24"/>
          <w:szCs w:val="24"/>
          <w:lang w:val="zh-CN"/>
        </w:rPr>
        <w:t>股份有限公司江西南昌</w:t>
      </w:r>
      <w:r>
        <w:rPr>
          <w:rFonts w:hint="eastAsia" w:ascii="Times New Roman" w:hAnsi="Times New Roman" w:cs="Times New Roman"/>
          <w:color w:val="000000" w:themeColor="text1"/>
          <w:kern w:val="0"/>
          <w:sz w:val="24"/>
          <w:szCs w:val="24"/>
          <w:lang w:val="en-US" w:eastAsia="zh-CN"/>
        </w:rPr>
        <w:t>双港大道</w:t>
      </w:r>
      <w:r>
        <w:rPr>
          <w:rFonts w:ascii="Times New Roman" w:hAnsi="Times New Roman" w:cs="Times New Roman"/>
          <w:color w:val="000000" w:themeColor="text1"/>
          <w:kern w:val="0"/>
          <w:sz w:val="24"/>
          <w:szCs w:val="24"/>
          <w:lang w:val="zh-CN"/>
        </w:rPr>
        <w:t>加油</w:t>
      </w:r>
      <w:r>
        <w:rPr>
          <w:rFonts w:hint="eastAsia" w:ascii="Times New Roman" w:hAnsi="Times New Roman" w:cs="Times New Roman"/>
          <w:color w:val="000000" w:themeColor="text1"/>
          <w:kern w:val="0"/>
          <w:sz w:val="24"/>
          <w:szCs w:val="24"/>
          <w:lang w:val="en-US" w:eastAsia="zh-CN"/>
        </w:rPr>
        <w:t>站</w:t>
      </w:r>
      <w:r>
        <w:rPr>
          <w:rFonts w:ascii="Times New Roman" w:hAnsi="Times New Roman" w:cs="Times New Roman"/>
          <w:color w:val="000000" w:themeColor="text1"/>
          <w:kern w:val="0"/>
          <w:sz w:val="24"/>
          <w:szCs w:val="24"/>
          <w:lang w:val="zh-CN"/>
        </w:rPr>
        <w:t>突发环境事件应急领导小组主要处理单位内部突发环境事件，随时投入应急的后续支援和提供技术支援，确保在启动预警前、事件发生后相关环境专家能迅速到位，为指挥决策提供服务。</w:t>
      </w:r>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912" w:name="_Toc19091_WPSOffice_Level2"/>
      <w:bookmarkStart w:id="913" w:name="_Toc23370_WPSOffice_Level2"/>
      <w:bookmarkStart w:id="914" w:name="_Toc18070_WPSOffice_Level2"/>
      <w:bookmarkStart w:id="915" w:name="_Toc28731_WPSOffice_Level2"/>
      <w:bookmarkStart w:id="916" w:name="_Toc21894"/>
      <w:bookmarkStart w:id="917" w:name="_Toc20562"/>
      <w:bookmarkStart w:id="918" w:name="_Toc8333_WPSOffice_Level2"/>
      <w:bookmarkStart w:id="919" w:name="_Toc25959"/>
      <w:bookmarkStart w:id="920" w:name="_Toc20536"/>
      <w:r>
        <w:rPr>
          <w:rFonts w:ascii="Times New Roman" w:hAnsi="Times New Roman" w:cs="Times New Roman"/>
          <w:b/>
          <w:bCs/>
          <w:color w:val="000000" w:themeColor="text1"/>
          <w:sz w:val="24"/>
          <w:szCs w:val="24"/>
        </w:rPr>
        <w:t>8.6应急救援保障</w:t>
      </w:r>
      <w:bookmarkEnd w:id="912"/>
      <w:bookmarkEnd w:id="913"/>
      <w:bookmarkEnd w:id="914"/>
      <w:bookmarkEnd w:id="915"/>
      <w:bookmarkEnd w:id="916"/>
      <w:bookmarkEnd w:id="917"/>
      <w:bookmarkEnd w:id="918"/>
      <w:bookmarkEnd w:id="919"/>
      <w:bookmarkEnd w:id="920"/>
    </w:p>
    <w:p>
      <w:pPr>
        <w:spacing w:line="500" w:lineRule="exact"/>
        <w:ind w:firstLine="482" w:firstLineChars="200"/>
        <w:jc w:val="left"/>
        <w:rPr>
          <w:rFonts w:ascii="Times New Roman" w:hAnsi="Times New Roman" w:cs="Times New Roman"/>
          <w:b/>
          <w:color w:val="000000" w:themeColor="text1"/>
          <w:kern w:val="0"/>
          <w:sz w:val="24"/>
          <w:szCs w:val="24"/>
        </w:rPr>
      </w:pPr>
      <w:bookmarkStart w:id="921" w:name="_Toc6017_WPSOffice_Level3"/>
      <w:bookmarkStart w:id="922" w:name="_Toc27762_WPSOffice_Level3"/>
      <w:bookmarkStart w:id="923" w:name="_Toc27419_WPSOffice_Level3"/>
      <w:bookmarkStart w:id="924" w:name="_Toc12178_WPSOffice_Level3"/>
      <w:bookmarkStart w:id="925" w:name="_Toc6711_WPSOffice_Level3"/>
      <w:r>
        <w:rPr>
          <w:rFonts w:ascii="Times New Roman" w:hAnsi="Times New Roman" w:cs="Times New Roman"/>
          <w:b/>
          <w:color w:val="000000" w:themeColor="text1"/>
          <w:kern w:val="0"/>
          <w:sz w:val="24"/>
          <w:szCs w:val="24"/>
        </w:rPr>
        <w:t>A、内部保障</w:t>
      </w:r>
      <w:bookmarkEnd w:id="921"/>
      <w:bookmarkEnd w:id="922"/>
      <w:bookmarkEnd w:id="923"/>
      <w:bookmarkEnd w:id="924"/>
      <w:bookmarkEnd w:id="925"/>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（1）确定应急救援队伍，包括抢修、现场救护、医疗、治安、消防、交通管理、通讯、供应、运输、后勤等人员。</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应急救援队伍以事故应急救援队办公室为龙头，安排各有关部门人员参加，针对事故现场设置应急办公室、物资后勤保障组等。</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（2）现场平面布置图、消防设施配置图、危险化学品安全技术说明书、气象资料等由加油站办公室负责收集，原件由资料员统一保管，复印件交办公室和副指挥长分别留存。</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（3）应急通信系统</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以电话联系为主，并派专人落实和实施</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总经理、站长电话、应急救援办公室负责人电话、物资后勤保障组负责人电话：看附件5</w:t>
      </w:r>
    </w:p>
    <w:p>
      <w:pPr>
        <w:spacing w:line="500" w:lineRule="exact"/>
        <w:ind w:firstLine="482" w:firstLineChars="200"/>
        <w:jc w:val="left"/>
        <w:rPr>
          <w:rFonts w:ascii="Times New Roman" w:hAnsi="Times New Roman" w:cs="Times New Roman"/>
          <w:b/>
          <w:color w:val="000000" w:themeColor="text1"/>
          <w:kern w:val="0"/>
          <w:sz w:val="24"/>
          <w:szCs w:val="24"/>
        </w:rPr>
      </w:pPr>
      <w:bookmarkStart w:id="926" w:name="_Toc20936_WPSOffice_Level3"/>
      <w:bookmarkStart w:id="927" w:name="_Toc4695_WPSOffice_Level3"/>
      <w:bookmarkStart w:id="928" w:name="_Toc17778_WPSOffice_Level3"/>
      <w:bookmarkStart w:id="929" w:name="_Toc391_WPSOffice_Level3"/>
      <w:bookmarkStart w:id="930" w:name="_Toc24961_WPSOffice_Level3"/>
      <w:r>
        <w:rPr>
          <w:rFonts w:ascii="Times New Roman" w:hAnsi="Times New Roman" w:cs="Times New Roman"/>
          <w:b/>
          <w:color w:val="000000" w:themeColor="text1"/>
          <w:kern w:val="0"/>
          <w:sz w:val="24"/>
          <w:szCs w:val="24"/>
        </w:rPr>
        <w:t>B、保障制度</w:t>
      </w:r>
      <w:bookmarkEnd w:id="926"/>
      <w:bookmarkEnd w:id="927"/>
      <w:bookmarkEnd w:id="928"/>
      <w:bookmarkEnd w:id="929"/>
      <w:bookmarkEnd w:id="930"/>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为了能在事故发生后，迅速、准确、有效地进行处理，必须制定好“突发环境事件应急救援预案”，做好应急救援的各项准备工作，对加油站全体职工进行经常性的应急救援常识教育，落实岗位责任制和各项规章制度；同时还应建立以下相应制度：</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（1）值班制度：建立24小时值班制度，夜间由行政值班负责，遇有问题及时处理。每班由值班长负责巡视检查、记录，发现异常情况及时向安全员汇报，值班人员全天打开手机，应对各种异常情况。</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（2）检查制度：每月由加油站应急救援指挥领导小组结合加油站环保工作，检查应急救援工作情况。发现问题及时整改。</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（3）例会制度：每季度由突发环境事件应急救援指挥领导小组组织召开一次指挥组成员和各救援队伍负责人会议，检查上季度工作，并针对存在的问题，积极采取有效措施，加以改进。</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（4）必须让每个班组的加油人员熟悉事故的处置方法，提高处置事故的能力，加油站综合性的演练由指挥部每年组织一次，对工作突出者要给予表彰和奖励。</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（5）培训制度</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事故应急救援队队员定期参加公司加油站内部同南昌</w:t>
      </w:r>
      <w:r>
        <w:rPr>
          <w:rFonts w:hint="eastAsia" w:ascii="Times New Roman" w:hAnsi="Times New Roman" w:cs="Times New Roman"/>
          <w:color w:val="000000" w:themeColor="text1"/>
          <w:kern w:val="0"/>
          <w:sz w:val="24"/>
          <w:szCs w:val="24"/>
          <w:lang w:val="en-US" w:eastAsia="zh-CN"/>
        </w:rPr>
        <w:t>市</w:t>
      </w:r>
      <w:r>
        <w:rPr>
          <w:rFonts w:ascii="Times New Roman" w:hAnsi="Times New Roman" w:cs="Times New Roman"/>
          <w:color w:val="000000" w:themeColor="text1"/>
          <w:kern w:val="0"/>
          <w:sz w:val="24"/>
          <w:szCs w:val="24"/>
        </w:rPr>
        <w:t>有关部门组织的应急救援培训，熟悉应急救援知识，熟练使用各种应急救援器材。</w:t>
      </w:r>
    </w:p>
    <w:p>
      <w:pPr>
        <w:spacing w:line="500" w:lineRule="exact"/>
        <w:ind w:firstLine="482" w:firstLineChars="200"/>
        <w:jc w:val="left"/>
        <w:rPr>
          <w:rFonts w:ascii="Times New Roman" w:hAnsi="Times New Roman" w:cs="Times New Roman"/>
          <w:b/>
          <w:color w:val="000000" w:themeColor="text1"/>
          <w:kern w:val="0"/>
          <w:sz w:val="24"/>
          <w:szCs w:val="24"/>
        </w:rPr>
      </w:pPr>
      <w:bookmarkStart w:id="931" w:name="_Toc13812_WPSOffice_Level3"/>
      <w:bookmarkStart w:id="932" w:name="_Toc24424_WPSOffice_Level3"/>
      <w:bookmarkStart w:id="933" w:name="_Toc10794_WPSOffice_Level3"/>
      <w:bookmarkStart w:id="934" w:name="_Toc17459_WPSOffice_Level3"/>
      <w:bookmarkStart w:id="935" w:name="_Toc11258_WPSOffice_Level3"/>
      <w:r>
        <w:rPr>
          <w:rFonts w:ascii="Times New Roman" w:hAnsi="Times New Roman" w:cs="Times New Roman"/>
          <w:b/>
          <w:color w:val="000000" w:themeColor="text1"/>
          <w:kern w:val="0"/>
          <w:sz w:val="24"/>
          <w:szCs w:val="24"/>
        </w:rPr>
        <w:t>C、外部救援</w:t>
      </w:r>
      <w:bookmarkEnd w:id="931"/>
      <w:bookmarkEnd w:id="932"/>
      <w:bookmarkEnd w:id="933"/>
      <w:bookmarkEnd w:id="934"/>
      <w:bookmarkEnd w:id="935"/>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当加油站的抢险抢救力量不足或有可能危及社会安全时，救援小组立即向上级和友邻单位通报，必要时请求社会力量援助，社会援助队伍进入站区时，由救援小组指定专人联络，引导并告知安全注意事项及单位互助的方式。</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（2）请求政府协调应急救援力量。</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（3）应急救援信息咨询。</w:t>
      </w:r>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936" w:name="_Toc14492_WPSOffice_Level2"/>
      <w:bookmarkStart w:id="937" w:name="_Toc29406_WPSOffice_Level2"/>
      <w:bookmarkStart w:id="938" w:name="_Toc28208_WPSOffice_Level2"/>
      <w:bookmarkStart w:id="939" w:name="_Toc13398"/>
      <w:bookmarkStart w:id="940" w:name="_Toc18125"/>
      <w:bookmarkStart w:id="941" w:name="_Toc22499"/>
      <w:bookmarkStart w:id="942" w:name="_Toc5706_WPSOffice_Level2"/>
      <w:bookmarkStart w:id="943" w:name="_Toc27528_WPSOffice_Level2"/>
      <w:bookmarkStart w:id="944" w:name="_Toc4615"/>
      <w:r>
        <w:rPr>
          <w:rFonts w:ascii="Times New Roman" w:hAnsi="Times New Roman" w:cs="Times New Roman"/>
          <w:b/>
          <w:bCs/>
          <w:color w:val="000000" w:themeColor="text1"/>
          <w:sz w:val="24"/>
          <w:szCs w:val="24"/>
        </w:rPr>
        <w:t>8.7次生灾害安全防护</w:t>
      </w:r>
      <w:bookmarkEnd w:id="936"/>
      <w:bookmarkEnd w:id="937"/>
      <w:bookmarkEnd w:id="938"/>
      <w:bookmarkEnd w:id="939"/>
      <w:bookmarkEnd w:id="940"/>
      <w:bookmarkEnd w:id="941"/>
      <w:bookmarkEnd w:id="942"/>
      <w:bookmarkEnd w:id="943"/>
      <w:bookmarkEnd w:id="944"/>
    </w:p>
    <w:p>
      <w:pPr>
        <w:keepNext/>
        <w:keepLines/>
        <w:spacing w:before="240" w:after="240" w:line="500" w:lineRule="exact"/>
        <w:jc w:val="left"/>
        <w:outlineLvl w:val="2"/>
        <w:rPr>
          <w:rFonts w:ascii="Times New Roman" w:hAnsi="Times New Roman" w:cs="Times New Roman"/>
          <w:b/>
          <w:color w:val="000000" w:themeColor="text1"/>
          <w:sz w:val="24"/>
          <w:szCs w:val="24"/>
        </w:rPr>
      </w:pPr>
      <w:bookmarkStart w:id="945" w:name="_Toc28208_WPSOffice_Level3"/>
      <w:bookmarkStart w:id="946" w:name="_Toc3242"/>
      <w:bookmarkStart w:id="947" w:name="_Toc6008_WPSOffice_Level3"/>
      <w:bookmarkStart w:id="948" w:name="_Toc9958"/>
      <w:bookmarkStart w:id="949" w:name="_Toc14141_WPSOffice_Level3"/>
      <w:bookmarkStart w:id="950" w:name="_Toc30419"/>
      <w:bookmarkStart w:id="951" w:name="_Toc5212"/>
      <w:bookmarkStart w:id="952" w:name="_Toc21701_WPSOffice_Level3"/>
      <w:bookmarkStart w:id="953" w:name="_Toc10199_WPSOffice_Level3"/>
      <w:r>
        <w:rPr>
          <w:rFonts w:ascii="Times New Roman" w:hAnsi="Times New Roman" w:cs="Times New Roman"/>
          <w:b/>
          <w:color w:val="000000" w:themeColor="text1"/>
          <w:sz w:val="24"/>
          <w:szCs w:val="24"/>
        </w:rPr>
        <w:t>8.7.1次生灾害类别</w:t>
      </w:r>
      <w:bookmarkEnd w:id="945"/>
      <w:bookmarkEnd w:id="946"/>
      <w:bookmarkEnd w:id="947"/>
      <w:bookmarkEnd w:id="948"/>
      <w:bookmarkEnd w:id="949"/>
      <w:bookmarkEnd w:id="950"/>
      <w:bookmarkEnd w:id="951"/>
      <w:bookmarkEnd w:id="952"/>
      <w:bookmarkEnd w:id="953"/>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由突发环境应急事件引起的次生灾害主要有：</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1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lang w:val="zh-CN"/>
        </w:rPr>
        <w:t>①</w:t>
      </w:r>
      <w:r>
        <w:rPr>
          <w:rFonts w:ascii="Times New Roman" w:hAnsi="Times New Roman" w:cs="Times New Roman"/>
          <w:color w:val="000000" w:themeColor="text1"/>
          <w:kern w:val="0"/>
          <w:sz w:val="24"/>
          <w:szCs w:val="24"/>
          <w:lang w:val="zh-CN"/>
        </w:rPr>
        <w:fldChar w:fldCharType="end"/>
      </w:r>
      <w:r>
        <w:rPr>
          <w:rFonts w:ascii="Times New Roman" w:hAnsi="Times New Roman" w:cs="Times New Roman"/>
          <w:color w:val="000000" w:themeColor="text1"/>
          <w:kern w:val="0"/>
          <w:sz w:val="24"/>
          <w:szCs w:val="24"/>
          <w:lang w:val="zh-CN"/>
        </w:rPr>
        <w:t>汽油、含油废水等泄漏引起的地表示、地下水水质污染、土壤污染；</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fldChar w:fldCharType="begin"/>
      </w:r>
      <w:r>
        <w:rPr>
          <w:rFonts w:ascii="Times New Roman" w:hAnsi="Times New Roman" w:cs="Times New Roman"/>
          <w:color w:val="000000" w:themeColor="text1"/>
          <w:kern w:val="0"/>
          <w:sz w:val="24"/>
          <w:szCs w:val="24"/>
          <w:lang w:val="zh-CN"/>
        </w:rPr>
        <w:instrText xml:space="preserve"> = 2 \* GB3 \* MERGEFORMAT </w:instrText>
      </w:r>
      <w:r>
        <w:rPr>
          <w:rFonts w:ascii="Times New Roman" w:hAnsi="Times New Roman" w:cs="Times New Roman"/>
          <w:color w:val="000000" w:themeColor="text1"/>
          <w:kern w:val="0"/>
          <w:sz w:val="24"/>
          <w:szCs w:val="24"/>
          <w:lang w:val="zh-CN"/>
        </w:rPr>
        <w:fldChar w:fldCharType="separate"/>
      </w:r>
      <w:r>
        <w:rPr>
          <w:rFonts w:hint="eastAsia" w:ascii="宋体" w:hAnsi="宋体" w:eastAsia="宋体" w:cs="宋体"/>
          <w:color w:val="000000" w:themeColor="text1"/>
          <w:kern w:val="0"/>
          <w:sz w:val="24"/>
          <w:szCs w:val="24"/>
          <w:lang w:val="zh-CN"/>
        </w:rPr>
        <w:t>②</w:t>
      </w:r>
      <w:r>
        <w:rPr>
          <w:rFonts w:ascii="Times New Roman" w:hAnsi="Times New Roman" w:cs="Times New Roman"/>
          <w:color w:val="000000" w:themeColor="text1"/>
          <w:kern w:val="0"/>
          <w:sz w:val="24"/>
          <w:szCs w:val="24"/>
          <w:lang w:val="zh-CN"/>
        </w:rPr>
        <w:fldChar w:fldCharType="end"/>
      </w:r>
      <w:r>
        <w:rPr>
          <w:rFonts w:ascii="Times New Roman" w:hAnsi="Times New Roman" w:cs="Times New Roman"/>
          <w:color w:val="000000" w:themeColor="text1"/>
          <w:kern w:val="0"/>
          <w:sz w:val="24"/>
          <w:szCs w:val="24"/>
          <w:lang w:val="zh-CN"/>
        </w:rPr>
        <w:t>危险废物油泥、油渣、沾油消防沙等不安全处置或随意丢弃，造成环境污染。</w:t>
      </w:r>
    </w:p>
    <w:p>
      <w:pPr>
        <w:keepNext/>
        <w:keepLines/>
        <w:spacing w:before="240" w:after="240" w:line="500" w:lineRule="exact"/>
        <w:jc w:val="left"/>
        <w:outlineLvl w:val="2"/>
        <w:rPr>
          <w:rFonts w:ascii="Times New Roman" w:hAnsi="Times New Roman" w:cs="Times New Roman"/>
          <w:b/>
          <w:color w:val="000000" w:themeColor="text1"/>
          <w:sz w:val="24"/>
          <w:szCs w:val="24"/>
        </w:rPr>
      </w:pPr>
      <w:bookmarkStart w:id="954" w:name="_Toc1434"/>
      <w:bookmarkStart w:id="955" w:name="_Toc6188_WPSOffice_Level3"/>
      <w:bookmarkStart w:id="956" w:name="_Toc23728_WPSOffice_Level3"/>
      <w:bookmarkStart w:id="957" w:name="_Toc28644"/>
      <w:bookmarkStart w:id="958" w:name="_Toc6791_WPSOffice_Level3"/>
      <w:bookmarkStart w:id="959" w:name="_Toc31083"/>
      <w:bookmarkStart w:id="960" w:name="_Toc3316"/>
      <w:bookmarkStart w:id="961" w:name="_Toc5001_WPSOffice_Level3"/>
      <w:bookmarkStart w:id="962" w:name="_Toc18052_WPSOffice_Level3"/>
      <w:r>
        <w:rPr>
          <w:rFonts w:ascii="Times New Roman" w:hAnsi="Times New Roman" w:cs="Times New Roman"/>
          <w:b/>
          <w:color w:val="000000" w:themeColor="text1"/>
          <w:sz w:val="24"/>
          <w:szCs w:val="24"/>
        </w:rPr>
        <w:t>8.7.2安全防护措施</w:t>
      </w:r>
      <w:bookmarkEnd w:id="954"/>
      <w:bookmarkEnd w:id="955"/>
      <w:bookmarkEnd w:id="956"/>
      <w:bookmarkEnd w:id="957"/>
      <w:bookmarkEnd w:id="958"/>
      <w:bookmarkEnd w:id="959"/>
      <w:bookmarkEnd w:id="960"/>
      <w:bookmarkEnd w:id="961"/>
      <w:bookmarkEnd w:id="962"/>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（1）</w:t>
      </w:r>
      <w:r>
        <w:rPr>
          <w:rFonts w:ascii="Times New Roman" w:hAnsi="Times New Roman" w:cs="Times New Roman"/>
          <w:color w:val="000000" w:themeColor="text1"/>
          <w:kern w:val="0"/>
          <w:sz w:val="24"/>
          <w:szCs w:val="24"/>
          <w:lang w:val="zh-CN"/>
        </w:rPr>
        <w:t>加强加油站危险源管理</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hint="eastAsia" w:ascii="宋体" w:hAnsi="宋体" w:eastAsia="宋体" w:cs="宋体"/>
          <w:color w:val="000000" w:themeColor="text1"/>
          <w:kern w:val="0"/>
          <w:sz w:val="24"/>
          <w:szCs w:val="24"/>
          <w:lang w:val="zh-CN"/>
        </w:rPr>
        <w:t>①</w:t>
      </w:r>
      <w:r>
        <w:rPr>
          <w:rFonts w:ascii="Times New Roman" w:hAnsi="Times New Roman" w:cs="Times New Roman"/>
          <w:color w:val="000000" w:themeColor="text1"/>
          <w:kern w:val="0"/>
          <w:sz w:val="24"/>
          <w:szCs w:val="24"/>
          <w:lang w:val="zh-CN"/>
        </w:rPr>
        <w:t>定期对污水收集系统进行维护及检修；</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hint="eastAsia" w:ascii="宋体" w:hAnsi="宋体" w:eastAsia="宋体" w:cs="宋体"/>
          <w:color w:val="000000" w:themeColor="text1"/>
          <w:kern w:val="0"/>
          <w:sz w:val="24"/>
          <w:szCs w:val="24"/>
          <w:lang w:val="zh-CN"/>
        </w:rPr>
        <w:t>②</w:t>
      </w:r>
      <w:r>
        <w:rPr>
          <w:rFonts w:ascii="Times New Roman" w:hAnsi="Times New Roman" w:cs="Times New Roman"/>
          <w:color w:val="000000" w:themeColor="text1"/>
          <w:kern w:val="0"/>
          <w:sz w:val="24"/>
          <w:szCs w:val="24"/>
          <w:lang w:val="zh-CN"/>
        </w:rPr>
        <w:t>定期对危险废物收集间防雨、防渗、防流失检查和管理；</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hint="eastAsia" w:ascii="宋体" w:hAnsi="宋体" w:eastAsia="宋体" w:cs="宋体"/>
          <w:color w:val="000000" w:themeColor="text1"/>
          <w:kern w:val="0"/>
          <w:sz w:val="24"/>
          <w:szCs w:val="24"/>
          <w:lang w:val="zh-CN"/>
        </w:rPr>
        <w:t>③</w:t>
      </w:r>
      <w:r>
        <w:rPr>
          <w:rFonts w:ascii="Times New Roman" w:hAnsi="Times New Roman" w:cs="Times New Roman"/>
          <w:color w:val="000000" w:themeColor="text1"/>
          <w:kern w:val="0"/>
          <w:sz w:val="24"/>
          <w:szCs w:val="24"/>
          <w:lang w:val="zh-CN"/>
        </w:rPr>
        <w:t>定期对事故池、污水收集池防渗检查；</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hint="eastAsia" w:ascii="宋体" w:hAnsi="宋体" w:eastAsia="宋体" w:cs="宋体"/>
          <w:color w:val="000000" w:themeColor="text1"/>
          <w:kern w:val="0"/>
          <w:sz w:val="24"/>
          <w:szCs w:val="24"/>
          <w:lang w:val="zh-CN"/>
        </w:rPr>
        <w:t>④</w:t>
      </w:r>
      <w:r>
        <w:rPr>
          <w:rFonts w:ascii="Times New Roman" w:hAnsi="Times New Roman" w:cs="Times New Roman"/>
          <w:color w:val="000000" w:themeColor="text1"/>
          <w:kern w:val="0"/>
          <w:sz w:val="24"/>
          <w:szCs w:val="24"/>
          <w:lang w:val="zh-CN"/>
        </w:rPr>
        <w:t>定期检查、检测油罐防渗层、输油管线、加油机，防止油品泄漏。</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（2）</w:t>
      </w:r>
      <w:r>
        <w:rPr>
          <w:rFonts w:ascii="Times New Roman" w:hAnsi="Times New Roman" w:cs="Times New Roman"/>
          <w:color w:val="000000" w:themeColor="text1"/>
          <w:kern w:val="0"/>
          <w:sz w:val="24"/>
          <w:szCs w:val="24"/>
          <w:lang w:val="zh-CN"/>
        </w:rPr>
        <w:t>制定加油站危险源管理制度、岗位责任制。</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（3）</w:t>
      </w:r>
      <w:r>
        <w:rPr>
          <w:rFonts w:ascii="Times New Roman" w:hAnsi="Times New Roman" w:cs="Times New Roman"/>
          <w:color w:val="000000" w:themeColor="text1"/>
          <w:kern w:val="0"/>
          <w:sz w:val="24"/>
          <w:szCs w:val="24"/>
          <w:lang w:val="zh-CN"/>
        </w:rPr>
        <w:t>定期组织应急预案演练。</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rPr>
        <w:t>（4）</w:t>
      </w:r>
      <w:r>
        <w:rPr>
          <w:rFonts w:ascii="Times New Roman" w:hAnsi="Times New Roman" w:cs="Times New Roman"/>
          <w:color w:val="000000" w:themeColor="text1"/>
          <w:kern w:val="0"/>
          <w:sz w:val="24"/>
          <w:szCs w:val="24"/>
          <w:lang w:val="zh-CN"/>
        </w:rPr>
        <w:t>加强加油人员应急相关知识培训。</w:t>
      </w:r>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963" w:name="_Toc1690"/>
      <w:bookmarkStart w:id="964" w:name="_Toc18540_WPSOffice_Level2"/>
      <w:bookmarkStart w:id="965" w:name="_Toc22160"/>
      <w:bookmarkStart w:id="966" w:name="_Toc30790_WPSOffice_Level2"/>
      <w:bookmarkStart w:id="967" w:name="_Toc5610_WPSOffice_Level2"/>
      <w:bookmarkStart w:id="968" w:name="_Toc20176"/>
      <w:bookmarkStart w:id="969" w:name="_Toc21585_WPSOffice_Level2"/>
      <w:bookmarkStart w:id="970" w:name="_Toc688"/>
      <w:bookmarkStart w:id="971" w:name="_Toc16937_WPSOffice_Level2"/>
      <w:r>
        <w:rPr>
          <w:rFonts w:ascii="Times New Roman" w:hAnsi="Times New Roman" w:cs="Times New Roman"/>
          <w:b/>
          <w:bCs/>
          <w:color w:val="000000" w:themeColor="text1"/>
          <w:sz w:val="24"/>
          <w:szCs w:val="24"/>
        </w:rPr>
        <w:t>8.8后期处置</w:t>
      </w:r>
      <w:bookmarkEnd w:id="963"/>
      <w:bookmarkEnd w:id="964"/>
      <w:bookmarkEnd w:id="965"/>
      <w:bookmarkEnd w:id="966"/>
      <w:bookmarkEnd w:id="967"/>
      <w:bookmarkEnd w:id="968"/>
      <w:bookmarkEnd w:id="969"/>
      <w:bookmarkEnd w:id="970"/>
      <w:bookmarkEnd w:id="971"/>
    </w:p>
    <w:p>
      <w:pPr>
        <w:keepNext/>
        <w:keepLines/>
        <w:spacing w:before="240" w:after="240" w:line="500" w:lineRule="exact"/>
        <w:jc w:val="left"/>
        <w:outlineLvl w:val="2"/>
        <w:rPr>
          <w:rFonts w:ascii="Times New Roman" w:hAnsi="Times New Roman" w:cs="Times New Roman"/>
          <w:b/>
          <w:color w:val="000000" w:themeColor="text1"/>
          <w:sz w:val="24"/>
          <w:szCs w:val="24"/>
        </w:rPr>
      </w:pPr>
      <w:bookmarkStart w:id="972" w:name="_Toc12426_WPSOffice_Level3"/>
      <w:bookmarkStart w:id="973" w:name="_Toc5648_WPSOffice_Level3"/>
      <w:bookmarkStart w:id="974" w:name="_Toc18094"/>
      <w:bookmarkStart w:id="975" w:name="_Toc16937_WPSOffice_Level3"/>
      <w:bookmarkStart w:id="976" w:name="_Toc1825_WPSOffice_Level3"/>
      <w:bookmarkStart w:id="977" w:name="_Toc7751"/>
      <w:bookmarkStart w:id="978" w:name="_Toc26621_WPSOffice_Level3"/>
      <w:bookmarkStart w:id="979" w:name="_Toc10256"/>
      <w:r>
        <w:rPr>
          <w:rFonts w:ascii="Times New Roman" w:hAnsi="Times New Roman" w:cs="Times New Roman"/>
          <w:b/>
          <w:color w:val="000000" w:themeColor="text1"/>
          <w:sz w:val="24"/>
          <w:szCs w:val="24"/>
        </w:rPr>
        <w:t>8.8.1善后处置</w:t>
      </w:r>
      <w:bookmarkEnd w:id="972"/>
      <w:bookmarkEnd w:id="973"/>
      <w:bookmarkEnd w:id="974"/>
      <w:bookmarkEnd w:id="975"/>
      <w:bookmarkEnd w:id="976"/>
      <w:bookmarkEnd w:id="977"/>
      <w:bookmarkEnd w:id="978"/>
      <w:bookmarkEnd w:id="979"/>
    </w:p>
    <w:p>
      <w:pPr>
        <w:spacing w:line="500" w:lineRule="exact"/>
        <w:ind w:firstLine="482" w:firstLineChars="200"/>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（1）污染监测与治理</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事故得到控制后，由应急救援办公室协调组织对事故现场及周边进行污染监测，确定现场有无污染物预留。加油站要组织相关专家或技术人员处理、分类或处置所收集的废物、被污染的土壤或地表水或其它材料。</w:t>
      </w:r>
    </w:p>
    <w:p>
      <w:pPr>
        <w:spacing w:line="500" w:lineRule="exact"/>
        <w:ind w:firstLine="482" w:firstLineChars="200"/>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（2）生产恢复</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加油站应急办公室应组织相关部门人员完成下列工作，做好恢复生产工作。</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（1）转移、处理、储存或以适当方式处置废弃材料；</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（2）做好应急设施、设备、器材污染消除、维护、更新等工作，以应对下次应急状态；</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（3）维护或更换相关应急设备；</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（4）清理或修复被污染场地。</w:t>
      </w:r>
    </w:p>
    <w:p>
      <w:pPr>
        <w:keepNext/>
        <w:keepLines/>
        <w:spacing w:before="240" w:after="240" w:line="500" w:lineRule="exact"/>
        <w:jc w:val="left"/>
        <w:outlineLvl w:val="2"/>
        <w:rPr>
          <w:rFonts w:ascii="Times New Roman" w:hAnsi="Times New Roman" w:cs="Times New Roman"/>
          <w:b/>
          <w:color w:val="000000" w:themeColor="text1"/>
          <w:sz w:val="24"/>
          <w:szCs w:val="24"/>
        </w:rPr>
      </w:pPr>
      <w:bookmarkStart w:id="980" w:name="_Toc10317"/>
      <w:bookmarkStart w:id="981" w:name="_Toc27685_WPSOffice_Level3"/>
      <w:bookmarkStart w:id="982" w:name="_Toc23880"/>
      <w:bookmarkStart w:id="983" w:name="_Toc9715_WPSOffice_Level3"/>
      <w:bookmarkStart w:id="984" w:name="_Toc22374"/>
      <w:bookmarkStart w:id="985" w:name="_Toc27072"/>
      <w:bookmarkStart w:id="986" w:name="_Toc6850_WPSOffice_Level3"/>
      <w:bookmarkStart w:id="987" w:name="_Toc25276_WPSOffice_Level3"/>
      <w:bookmarkStart w:id="988" w:name="_Toc20111_WPSOffice_Level3"/>
      <w:r>
        <w:rPr>
          <w:rFonts w:ascii="Times New Roman" w:hAnsi="Times New Roman" w:cs="Times New Roman"/>
          <w:b/>
          <w:color w:val="000000" w:themeColor="text1"/>
          <w:sz w:val="24"/>
          <w:szCs w:val="24"/>
        </w:rPr>
        <w:t>8.8.2保险</w:t>
      </w:r>
      <w:bookmarkEnd w:id="980"/>
      <w:bookmarkEnd w:id="981"/>
      <w:bookmarkEnd w:id="982"/>
      <w:bookmarkEnd w:id="983"/>
      <w:bookmarkEnd w:id="984"/>
      <w:bookmarkEnd w:id="985"/>
      <w:bookmarkEnd w:id="986"/>
      <w:bookmarkEnd w:id="987"/>
      <w:bookmarkEnd w:id="988"/>
    </w:p>
    <w:p>
      <w:pPr>
        <w:autoSpaceDN w:val="0"/>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建立突发环境事件社会保险机制。对环境应急工作人员办理意外伤害保险。</w:t>
      </w:r>
    </w:p>
    <w:p>
      <w:pPr>
        <w:keepNext/>
        <w:keepLines/>
        <w:spacing w:before="240" w:after="240" w:line="500" w:lineRule="exact"/>
        <w:jc w:val="left"/>
        <w:outlineLvl w:val="2"/>
        <w:rPr>
          <w:rFonts w:ascii="Times New Roman" w:hAnsi="Times New Roman" w:cs="Times New Roman"/>
          <w:b/>
          <w:color w:val="000000" w:themeColor="text1"/>
          <w:sz w:val="24"/>
          <w:szCs w:val="24"/>
        </w:rPr>
      </w:pPr>
      <w:bookmarkStart w:id="989" w:name="_Toc3538_WPSOffice_Level3"/>
      <w:bookmarkStart w:id="990" w:name="_Toc2489_WPSOffice_Level3"/>
      <w:bookmarkStart w:id="991" w:name="_Toc5665_WPSOffice_Level3"/>
      <w:bookmarkStart w:id="992" w:name="_Toc13658_WPSOffice_Level3"/>
      <w:bookmarkStart w:id="993" w:name="_Toc18449"/>
      <w:bookmarkStart w:id="994" w:name="_Toc4464"/>
      <w:bookmarkStart w:id="995" w:name="_Toc17924"/>
      <w:bookmarkStart w:id="996" w:name="_Toc19459"/>
      <w:bookmarkStart w:id="997" w:name="_Toc19924_WPSOffice_Level3"/>
      <w:r>
        <w:rPr>
          <w:rFonts w:ascii="Times New Roman" w:hAnsi="Times New Roman" w:cs="Times New Roman"/>
          <w:b/>
          <w:color w:val="000000" w:themeColor="text1"/>
          <w:sz w:val="24"/>
          <w:szCs w:val="24"/>
        </w:rPr>
        <w:t>8.8.3工作总结与评价</w:t>
      </w:r>
      <w:bookmarkEnd w:id="989"/>
      <w:bookmarkEnd w:id="990"/>
      <w:bookmarkEnd w:id="991"/>
      <w:bookmarkEnd w:id="992"/>
      <w:bookmarkEnd w:id="993"/>
      <w:bookmarkEnd w:id="994"/>
      <w:bookmarkEnd w:id="995"/>
      <w:bookmarkEnd w:id="996"/>
      <w:bookmarkEnd w:id="997"/>
    </w:p>
    <w:p>
      <w:pPr>
        <w:autoSpaceDN w:val="0"/>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（1）调查污染事故的发生原因和性质，评估出污染事故的危害范围和危险程度，查明人员伤亡情况，影响和损失评估、遗留待解决问题等。</w:t>
      </w:r>
    </w:p>
    <w:p>
      <w:pPr>
        <w:autoSpaceDN w:val="0"/>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应急过程的总结和改进建议：如应急预案是否科学合理，具有针对性、实用性；应急组织机构是否合理，应急队伍能力是否需要改进；响应程序是否与应急任务相匹配；采用的监测仪器、通信设备和车辆等能否满足应急响应工作的需要；采取的防护措施和方法是否得当；防护设备能否满足要求等。</w:t>
      </w:r>
    </w:p>
    <w:p>
      <w:pPr>
        <w:autoSpaceDN w:val="0"/>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（3）对管理工作进行总结，防止以后不发生类似环境事件，提出管理、具体操作等方面的改进措施。</w:t>
      </w:r>
    </w:p>
    <w:p>
      <w:pPr>
        <w:autoSpaceDN w:val="0"/>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（4）做好受灾人员的安置工作，组织有关专家对受灾范围进行中长期影响评估，并做出相应的补偿和对遭受污染的生态环境进行恢复的建议。</w:t>
      </w:r>
    </w:p>
    <w:p>
      <w:pPr>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br w:type="page"/>
      </w:r>
    </w:p>
    <w:p>
      <w:pPr>
        <w:keepNext/>
        <w:keepLines/>
        <w:spacing w:beforeLines="100" w:afterLines="100" w:line="500" w:lineRule="exact"/>
        <w:jc w:val="center"/>
        <w:outlineLvl w:val="0"/>
        <w:rPr>
          <w:rFonts w:ascii="Times New Roman" w:hAnsi="Times New Roman" w:cs="Times New Roman"/>
          <w:b/>
          <w:bCs/>
          <w:color w:val="000000" w:themeColor="text1"/>
          <w:kern w:val="44"/>
          <w:sz w:val="30"/>
          <w:szCs w:val="30"/>
        </w:rPr>
      </w:pPr>
      <w:bookmarkStart w:id="998" w:name="_Toc5665_WPSOffice_Level1"/>
      <w:bookmarkStart w:id="999" w:name="_Toc29191"/>
      <w:bookmarkStart w:id="1000" w:name="_Toc9242_WPSOffice_Level1"/>
      <w:bookmarkStart w:id="1001" w:name="_Toc16952"/>
      <w:bookmarkStart w:id="1002" w:name="_Toc23231_WPSOffice_Level1"/>
      <w:bookmarkStart w:id="1003" w:name="_Toc11689_WPSOffice_Level1"/>
      <w:bookmarkStart w:id="1004" w:name="_Toc25405"/>
      <w:bookmarkStart w:id="1005" w:name="_Toc2870_WPSOffice_Level1"/>
      <w:r>
        <w:rPr>
          <w:rFonts w:ascii="Times New Roman" w:hAnsi="Times New Roman" w:cs="Times New Roman"/>
          <w:b/>
          <w:bCs/>
          <w:color w:val="000000" w:themeColor="text1"/>
          <w:kern w:val="44"/>
          <w:sz w:val="30"/>
          <w:szCs w:val="30"/>
        </w:rPr>
        <w:t>9、培训与演练</w:t>
      </w:r>
      <w:bookmarkEnd w:id="998"/>
      <w:bookmarkEnd w:id="999"/>
      <w:bookmarkEnd w:id="1000"/>
      <w:bookmarkEnd w:id="1001"/>
      <w:bookmarkEnd w:id="1002"/>
      <w:bookmarkEnd w:id="1003"/>
      <w:bookmarkEnd w:id="1004"/>
      <w:bookmarkEnd w:id="1005"/>
    </w:p>
    <w:p>
      <w:pPr>
        <w:keepNext/>
        <w:keepLines/>
        <w:spacing w:line="500" w:lineRule="exact"/>
        <w:jc w:val="left"/>
        <w:outlineLvl w:val="1"/>
        <w:rPr>
          <w:rFonts w:ascii="Times New Roman" w:hAnsi="Times New Roman" w:cs="Times New Roman"/>
          <w:b/>
          <w:bCs/>
          <w:color w:val="000000" w:themeColor="text1"/>
          <w:sz w:val="24"/>
          <w:szCs w:val="24"/>
        </w:rPr>
      </w:pPr>
      <w:bookmarkStart w:id="1006" w:name="_Toc26028_WPSOffice_Level2"/>
      <w:bookmarkStart w:id="1007" w:name="_Toc9041"/>
      <w:bookmarkStart w:id="1008" w:name="_Toc215"/>
      <w:bookmarkStart w:id="1009" w:name="_Toc16414_WPSOffice_Level2"/>
      <w:bookmarkStart w:id="1010" w:name="_Toc5143"/>
      <w:bookmarkStart w:id="1011" w:name="_Toc302723379"/>
      <w:bookmarkStart w:id="1012" w:name="_Toc4451"/>
      <w:bookmarkStart w:id="1013" w:name="_Toc29914_WPSOffice_Level2"/>
      <w:bookmarkStart w:id="1014" w:name="_Toc19267_WPSOffice_Level2"/>
      <w:bookmarkStart w:id="1015" w:name="_Toc2319"/>
      <w:bookmarkStart w:id="1016" w:name="_Toc2865_WPSOffice_Level2"/>
      <w:r>
        <w:rPr>
          <w:rFonts w:ascii="Times New Roman" w:hAnsi="Times New Roman" w:cs="Times New Roman"/>
          <w:b/>
          <w:bCs/>
          <w:color w:val="000000" w:themeColor="text1"/>
          <w:sz w:val="24"/>
          <w:szCs w:val="24"/>
        </w:rPr>
        <w:t>9.1培训</w:t>
      </w:r>
      <w:bookmarkEnd w:id="1006"/>
      <w:bookmarkEnd w:id="1007"/>
      <w:bookmarkEnd w:id="1008"/>
      <w:bookmarkEnd w:id="1009"/>
      <w:bookmarkEnd w:id="1010"/>
      <w:bookmarkEnd w:id="1011"/>
      <w:bookmarkEnd w:id="1012"/>
      <w:bookmarkEnd w:id="1013"/>
      <w:bookmarkEnd w:id="1014"/>
      <w:bookmarkEnd w:id="1015"/>
      <w:bookmarkEnd w:id="1016"/>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加油站为普及环境污染事件预防常识，应编印、发放加油站有毒有害物质污染公众防护宣传单，增强公众的防范意识和相关心理准备，提高公众的防范能力。同时，应急领导小组及各部门环保安全负责人定期安排环境事件专业技术人员日常培训和管理知识，鼓励全体员工积极参与环保安全培训和应急预案演练。</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应急救援办公室负责组织、指导应急预案的培训工作，各相关部门和应急救援专业组织负责人做好日常预案的学习培训，根据预案实施情况制定相应的培训计划，采取多种形式对应急预案人员进行应急知识和技能的培训。培训应做好记录和培训评估。</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培训时间为每半年进行一次。</w:t>
      </w:r>
    </w:p>
    <w:p>
      <w:pPr>
        <w:spacing w:line="500" w:lineRule="exact"/>
        <w:ind w:firstLine="532" w:firstLineChars="221"/>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应急人员的培训内容:</w:t>
      </w:r>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17" w:name="_Toc11376_WPSOffice_Level3"/>
      <w:bookmarkStart w:id="1018" w:name="_Toc27162_WPSOffice_Level3"/>
      <w:bookmarkStart w:id="1019" w:name="_Toc24491_WPSOffice_Level3"/>
      <w:bookmarkStart w:id="1020" w:name="_Toc7833_WPSOffice_Level3"/>
      <w:bookmarkStart w:id="1021" w:name="_Toc28274_WPSOffice_Level3"/>
      <w:bookmarkStart w:id="1022" w:name="_Toc3495_WPSOffice_Level3"/>
      <w:r>
        <w:rPr>
          <w:rFonts w:ascii="Times New Roman" w:hAnsi="Times New Roman" w:cs="Times New Roman"/>
          <w:color w:val="000000" w:themeColor="text1"/>
          <w:kern w:val="0"/>
          <w:sz w:val="24"/>
          <w:szCs w:val="24"/>
          <w:lang w:val="zh-CN"/>
        </w:rPr>
        <w:t>a、危险源重点部位的分布与事故风险；</w:t>
      </w:r>
      <w:bookmarkEnd w:id="1017"/>
      <w:bookmarkEnd w:id="1018"/>
      <w:bookmarkEnd w:id="1019"/>
      <w:bookmarkEnd w:id="1020"/>
      <w:bookmarkEnd w:id="1021"/>
      <w:bookmarkEnd w:id="1022"/>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23" w:name="_Toc14183_WPSOffice_Level3"/>
      <w:bookmarkStart w:id="1024" w:name="_Toc25681_WPSOffice_Level3"/>
      <w:bookmarkStart w:id="1025" w:name="_Toc2319_WPSOffice_Level3"/>
      <w:bookmarkStart w:id="1026" w:name="_Toc16754_WPSOffice_Level3"/>
      <w:bookmarkStart w:id="1027" w:name="_Toc5143_WPSOffice_Level3"/>
      <w:bookmarkStart w:id="1028" w:name="_Toc10601_WPSOffice_Level3"/>
      <w:r>
        <w:rPr>
          <w:rFonts w:ascii="Times New Roman" w:hAnsi="Times New Roman" w:cs="Times New Roman"/>
          <w:color w:val="000000" w:themeColor="text1"/>
          <w:kern w:val="0"/>
          <w:sz w:val="24"/>
          <w:szCs w:val="24"/>
          <w:lang w:val="zh-CN"/>
        </w:rPr>
        <w:t>b、事故报警与报告程序、方式；</w:t>
      </w:r>
      <w:bookmarkEnd w:id="1023"/>
      <w:bookmarkEnd w:id="1024"/>
      <w:bookmarkEnd w:id="1025"/>
      <w:bookmarkEnd w:id="1026"/>
      <w:bookmarkEnd w:id="1027"/>
      <w:bookmarkEnd w:id="1028"/>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29" w:name="_Toc21899_WPSOffice_Level3"/>
      <w:bookmarkStart w:id="1030" w:name="_Toc17071_WPSOffice_Level3"/>
      <w:bookmarkStart w:id="1031" w:name="_Toc19684_WPSOffice_Level3"/>
      <w:bookmarkStart w:id="1032" w:name="_Toc5892_WPSOffice_Level3"/>
      <w:bookmarkStart w:id="1033" w:name="_Toc10341_WPSOffice_Level3"/>
      <w:bookmarkStart w:id="1034" w:name="_Toc20153_WPSOffice_Level3"/>
      <w:r>
        <w:rPr>
          <w:rFonts w:ascii="Times New Roman" w:hAnsi="Times New Roman" w:cs="Times New Roman"/>
          <w:color w:val="000000" w:themeColor="text1"/>
          <w:kern w:val="0"/>
          <w:sz w:val="24"/>
          <w:szCs w:val="24"/>
          <w:lang w:val="zh-CN"/>
        </w:rPr>
        <w:t>c、火灾、泄漏的抢险处置措施；</w:t>
      </w:r>
      <w:bookmarkEnd w:id="1029"/>
      <w:bookmarkEnd w:id="1030"/>
      <w:bookmarkEnd w:id="1031"/>
      <w:bookmarkEnd w:id="1032"/>
      <w:bookmarkEnd w:id="1033"/>
      <w:bookmarkEnd w:id="1034"/>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35" w:name="_Toc15891_WPSOffice_Level3"/>
      <w:bookmarkStart w:id="1036" w:name="_Toc16132_WPSOffice_Level3"/>
      <w:bookmarkStart w:id="1037" w:name="_Toc29588_WPSOffice_Level3"/>
      <w:bookmarkStart w:id="1038" w:name="_Toc23059_WPSOffice_Level3"/>
      <w:bookmarkStart w:id="1039" w:name="_Toc29739_WPSOffice_Level3"/>
      <w:bookmarkStart w:id="1040" w:name="_Toc30119_WPSOffice_Level3"/>
      <w:r>
        <w:rPr>
          <w:rFonts w:ascii="Times New Roman" w:hAnsi="Times New Roman" w:cs="Times New Roman"/>
          <w:color w:val="000000" w:themeColor="text1"/>
          <w:kern w:val="0"/>
          <w:sz w:val="24"/>
          <w:szCs w:val="24"/>
          <w:lang w:val="zh-CN"/>
        </w:rPr>
        <w:t>d、各种应急设备设施及防护用品的使用与正确佩戴；</w:t>
      </w:r>
      <w:bookmarkEnd w:id="1035"/>
      <w:bookmarkEnd w:id="1036"/>
      <w:bookmarkEnd w:id="1037"/>
      <w:bookmarkEnd w:id="1038"/>
      <w:bookmarkEnd w:id="1039"/>
      <w:bookmarkEnd w:id="1040"/>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41" w:name="_Toc6404_WPSOffice_Level3"/>
      <w:bookmarkStart w:id="1042" w:name="_Toc25532_WPSOffice_Level3"/>
      <w:bookmarkStart w:id="1043" w:name="_Toc19888_WPSOffice_Level3"/>
      <w:bookmarkStart w:id="1044" w:name="_Toc11350_WPSOffice_Level3"/>
      <w:bookmarkStart w:id="1045" w:name="_Toc5704_WPSOffice_Level3"/>
      <w:bookmarkStart w:id="1046" w:name="_Toc26639_WPSOffice_Level3"/>
      <w:r>
        <w:rPr>
          <w:rFonts w:ascii="Times New Roman" w:hAnsi="Times New Roman" w:cs="Times New Roman"/>
          <w:color w:val="000000" w:themeColor="text1"/>
          <w:kern w:val="0"/>
          <w:sz w:val="24"/>
          <w:szCs w:val="24"/>
          <w:lang w:val="zh-CN"/>
        </w:rPr>
        <w:t>e、应急疏散程序与事故现场的保护；</w:t>
      </w:r>
      <w:bookmarkEnd w:id="1041"/>
      <w:bookmarkEnd w:id="1042"/>
      <w:bookmarkEnd w:id="1043"/>
      <w:bookmarkEnd w:id="1044"/>
      <w:bookmarkEnd w:id="1045"/>
      <w:bookmarkEnd w:id="1046"/>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47" w:name="_Toc3720_WPSOffice_Level3"/>
      <w:bookmarkStart w:id="1048" w:name="_Toc19464_WPSOffice_Level3"/>
      <w:bookmarkStart w:id="1049" w:name="_Toc4568_WPSOffice_Level3"/>
      <w:bookmarkStart w:id="1050" w:name="_Toc11286_WPSOffice_Level3"/>
      <w:bookmarkStart w:id="1051" w:name="_Toc24859_WPSOffice_Level3"/>
      <w:bookmarkStart w:id="1052" w:name="_Toc4174_WPSOffice_Level3"/>
      <w:r>
        <w:rPr>
          <w:rFonts w:ascii="Times New Roman" w:hAnsi="Times New Roman" w:cs="Times New Roman"/>
          <w:color w:val="000000" w:themeColor="text1"/>
          <w:kern w:val="0"/>
          <w:sz w:val="24"/>
          <w:szCs w:val="24"/>
          <w:lang w:val="zh-CN"/>
        </w:rPr>
        <w:t>f、医疗急救知识与技能。</w:t>
      </w:r>
      <w:bookmarkEnd w:id="1047"/>
      <w:bookmarkEnd w:id="1048"/>
      <w:bookmarkEnd w:id="1049"/>
      <w:bookmarkEnd w:id="1050"/>
      <w:bookmarkEnd w:id="1051"/>
      <w:bookmarkEnd w:id="1052"/>
    </w:p>
    <w:p>
      <w:pPr>
        <w:spacing w:line="500" w:lineRule="exact"/>
        <w:ind w:firstLine="532" w:firstLineChars="221"/>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员工与公众的培训内容：</w:t>
      </w:r>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53" w:name="_Toc9716_WPSOffice_Level3"/>
      <w:bookmarkStart w:id="1054" w:name="_Toc4620_WPSOffice_Level3"/>
      <w:bookmarkStart w:id="1055" w:name="_Toc29047_WPSOffice_Level3"/>
      <w:bookmarkStart w:id="1056" w:name="_Toc7021_WPSOffice_Level3"/>
      <w:bookmarkStart w:id="1057" w:name="_Toc31229_WPSOffice_Level3"/>
      <w:bookmarkStart w:id="1058" w:name="_Toc990_WPSOffice_Level3"/>
      <w:r>
        <w:rPr>
          <w:rFonts w:ascii="Times New Roman" w:hAnsi="Times New Roman" w:cs="Times New Roman"/>
          <w:color w:val="000000" w:themeColor="text1"/>
          <w:kern w:val="0"/>
          <w:sz w:val="24"/>
          <w:szCs w:val="24"/>
          <w:lang w:val="zh-CN"/>
        </w:rPr>
        <w:t>a、可能的重大危险事故及后果；</w:t>
      </w:r>
      <w:bookmarkEnd w:id="1053"/>
      <w:bookmarkEnd w:id="1054"/>
      <w:bookmarkEnd w:id="1055"/>
      <w:bookmarkEnd w:id="1056"/>
      <w:bookmarkEnd w:id="1057"/>
      <w:bookmarkEnd w:id="1058"/>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59" w:name="_Toc18661_WPSOffice_Level3"/>
      <w:bookmarkStart w:id="1060" w:name="_Toc26744_WPSOffice_Level3"/>
      <w:bookmarkStart w:id="1061" w:name="_Toc15368_WPSOffice_Level3"/>
      <w:bookmarkStart w:id="1062" w:name="_Toc28464_WPSOffice_Level3"/>
      <w:bookmarkStart w:id="1063" w:name="_Toc28705_WPSOffice_Level3"/>
      <w:bookmarkStart w:id="1064" w:name="_Toc19101_WPSOffice_Level3"/>
      <w:r>
        <w:rPr>
          <w:rFonts w:ascii="Times New Roman" w:hAnsi="Times New Roman" w:cs="Times New Roman"/>
          <w:color w:val="000000" w:themeColor="text1"/>
          <w:kern w:val="0"/>
          <w:sz w:val="24"/>
          <w:szCs w:val="24"/>
          <w:lang w:val="zh-CN"/>
        </w:rPr>
        <w:t>b、事故报警与报告；</w:t>
      </w:r>
      <w:bookmarkEnd w:id="1059"/>
      <w:bookmarkEnd w:id="1060"/>
      <w:bookmarkEnd w:id="1061"/>
      <w:bookmarkEnd w:id="1062"/>
      <w:bookmarkEnd w:id="1063"/>
      <w:bookmarkEnd w:id="1064"/>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65" w:name="_Toc32167_WPSOffice_Level3"/>
      <w:bookmarkStart w:id="1066" w:name="_Toc26117_WPSOffice_Level3"/>
      <w:bookmarkStart w:id="1067" w:name="_Toc9841_WPSOffice_Level3"/>
      <w:bookmarkStart w:id="1068" w:name="_Toc12514_WPSOffice_Level3"/>
      <w:bookmarkStart w:id="1069" w:name="_Toc4107_WPSOffice_Level3"/>
      <w:bookmarkStart w:id="1070" w:name="_Toc29831_WPSOffice_Level3"/>
      <w:r>
        <w:rPr>
          <w:rFonts w:ascii="Times New Roman" w:hAnsi="Times New Roman" w:cs="Times New Roman"/>
          <w:color w:val="000000" w:themeColor="text1"/>
          <w:kern w:val="0"/>
          <w:sz w:val="24"/>
          <w:szCs w:val="24"/>
          <w:lang w:val="zh-CN"/>
        </w:rPr>
        <w:t>c、灭火器的使用与基本灭火方法；</w:t>
      </w:r>
      <w:bookmarkEnd w:id="1065"/>
      <w:bookmarkEnd w:id="1066"/>
      <w:bookmarkEnd w:id="1067"/>
      <w:bookmarkEnd w:id="1068"/>
      <w:bookmarkEnd w:id="1069"/>
      <w:bookmarkEnd w:id="1070"/>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71" w:name="_Toc12821_WPSOffice_Level3"/>
      <w:bookmarkStart w:id="1072" w:name="_Toc2509_WPSOffice_Level3"/>
      <w:bookmarkStart w:id="1073" w:name="_Toc18483_WPSOffice_Level3"/>
      <w:bookmarkStart w:id="1074" w:name="_Toc4097_WPSOffice_Level3"/>
      <w:bookmarkStart w:id="1075" w:name="_Toc20582_WPSOffice_Level3"/>
      <w:bookmarkStart w:id="1076" w:name="_Toc347_WPSOffice_Level3"/>
      <w:r>
        <w:rPr>
          <w:rFonts w:ascii="Times New Roman" w:hAnsi="Times New Roman" w:cs="Times New Roman"/>
          <w:color w:val="000000" w:themeColor="text1"/>
          <w:kern w:val="0"/>
          <w:sz w:val="24"/>
          <w:szCs w:val="24"/>
          <w:lang w:val="zh-CN"/>
        </w:rPr>
        <w:t>d、泄漏处理与化学品基本防护知识；</w:t>
      </w:r>
      <w:bookmarkEnd w:id="1071"/>
      <w:bookmarkEnd w:id="1072"/>
      <w:bookmarkEnd w:id="1073"/>
      <w:bookmarkEnd w:id="1074"/>
      <w:bookmarkEnd w:id="1075"/>
      <w:bookmarkEnd w:id="1076"/>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77" w:name="_Toc4963_WPSOffice_Level3"/>
      <w:bookmarkStart w:id="1078" w:name="_Toc7460_WPSOffice_Level3"/>
      <w:bookmarkStart w:id="1079" w:name="_Toc30926_WPSOffice_Level3"/>
      <w:bookmarkStart w:id="1080" w:name="_Toc29007_WPSOffice_Level3"/>
      <w:bookmarkStart w:id="1081" w:name="_Toc14845_WPSOffice_Level3"/>
      <w:bookmarkStart w:id="1082" w:name="_Toc19861_WPSOffice_Level3"/>
      <w:r>
        <w:rPr>
          <w:rFonts w:ascii="Times New Roman" w:hAnsi="Times New Roman" w:cs="Times New Roman"/>
          <w:color w:val="000000" w:themeColor="text1"/>
          <w:kern w:val="0"/>
          <w:sz w:val="24"/>
          <w:szCs w:val="24"/>
          <w:lang w:val="zh-CN"/>
        </w:rPr>
        <w:t>e、疏散撤离的组织、方法和程序；</w:t>
      </w:r>
      <w:bookmarkEnd w:id="1077"/>
      <w:bookmarkEnd w:id="1078"/>
      <w:bookmarkEnd w:id="1079"/>
      <w:bookmarkEnd w:id="1080"/>
      <w:bookmarkEnd w:id="1081"/>
      <w:bookmarkEnd w:id="1082"/>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83" w:name="_Toc11899_WPSOffice_Level3"/>
      <w:bookmarkStart w:id="1084" w:name="_Toc12273_WPSOffice_Level3"/>
      <w:bookmarkStart w:id="1085" w:name="_Toc4411_WPSOffice_Level3"/>
      <w:bookmarkStart w:id="1086" w:name="_Toc25066_WPSOffice_Level3"/>
      <w:bookmarkStart w:id="1087" w:name="_Toc17521_WPSOffice_Level3"/>
      <w:bookmarkStart w:id="1088" w:name="_Toc15876_WPSOffice_Level3"/>
      <w:r>
        <w:rPr>
          <w:rFonts w:ascii="Times New Roman" w:hAnsi="Times New Roman" w:cs="Times New Roman"/>
          <w:color w:val="000000" w:themeColor="text1"/>
          <w:kern w:val="0"/>
          <w:sz w:val="24"/>
          <w:szCs w:val="24"/>
          <w:lang w:val="zh-CN"/>
        </w:rPr>
        <w:t>f、自救和互救的基本常识。</w:t>
      </w:r>
      <w:bookmarkEnd w:id="1083"/>
      <w:bookmarkEnd w:id="1084"/>
      <w:bookmarkEnd w:id="1085"/>
      <w:bookmarkEnd w:id="1086"/>
      <w:bookmarkEnd w:id="1087"/>
      <w:bookmarkEnd w:id="1088"/>
    </w:p>
    <w:p>
      <w:pPr>
        <w:spacing w:line="500" w:lineRule="exact"/>
        <w:ind w:firstLine="532" w:firstLineChars="221"/>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应急培训要求：</w:t>
      </w:r>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89" w:name="_Toc28710_WPSOffice_Level3"/>
      <w:bookmarkStart w:id="1090" w:name="_Toc29251_WPSOffice_Level3"/>
      <w:bookmarkStart w:id="1091" w:name="_Toc12249_WPSOffice_Level3"/>
      <w:bookmarkStart w:id="1092" w:name="_Toc23500_WPSOffice_Level3"/>
      <w:bookmarkStart w:id="1093" w:name="_Toc25594_WPSOffice_Level3"/>
      <w:bookmarkStart w:id="1094" w:name="_Toc18179_WPSOffice_Level3"/>
      <w:r>
        <w:rPr>
          <w:rFonts w:ascii="Times New Roman" w:hAnsi="Times New Roman" w:cs="Times New Roman"/>
          <w:color w:val="000000" w:themeColor="text1"/>
          <w:kern w:val="0"/>
          <w:sz w:val="24"/>
          <w:szCs w:val="24"/>
          <w:lang w:val="zh-CN"/>
        </w:rPr>
        <w:t>a、针对性：针对可能的事故及承担的应急职责不同人员予以不同的培训内容；</w:t>
      </w:r>
      <w:bookmarkEnd w:id="1089"/>
      <w:bookmarkEnd w:id="1090"/>
      <w:bookmarkEnd w:id="1091"/>
      <w:bookmarkEnd w:id="1092"/>
      <w:bookmarkEnd w:id="1093"/>
      <w:bookmarkEnd w:id="1094"/>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095" w:name="_Toc765_WPSOffice_Level3"/>
      <w:bookmarkStart w:id="1096" w:name="_Toc31561_WPSOffice_Level3"/>
      <w:bookmarkStart w:id="1097" w:name="_Toc1342_WPSOffice_Level3"/>
      <w:bookmarkStart w:id="1098" w:name="_Toc3574_WPSOffice_Level3"/>
      <w:bookmarkStart w:id="1099" w:name="_Toc19174_WPSOffice_Level3"/>
      <w:bookmarkStart w:id="1100" w:name="_Toc8234_WPSOffice_Level3"/>
      <w:r>
        <w:rPr>
          <w:rFonts w:ascii="Times New Roman" w:hAnsi="Times New Roman" w:cs="Times New Roman"/>
          <w:color w:val="000000" w:themeColor="text1"/>
          <w:kern w:val="0"/>
          <w:sz w:val="24"/>
          <w:szCs w:val="24"/>
          <w:lang w:val="zh-CN"/>
        </w:rPr>
        <w:t>b、周期性：公司级的培训一般每年一次，部门与功能性培训每季度一次；</w:t>
      </w:r>
      <w:bookmarkEnd w:id="1095"/>
      <w:bookmarkEnd w:id="1096"/>
      <w:bookmarkEnd w:id="1097"/>
      <w:bookmarkEnd w:id="1098"/>
      <w:bookmarkEnd w:id="1099"/>
      <w:bookmarkEnd w:id="1100"/>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101" w:name="_Toc13259_WPSOffice_Level3"/>
      <w:bookmarkStart w:id="1102" w:name="_Toc2996_WPSOffice_Level3"/>
      <w:bookmarkStart w:id="1103" w:name="_Toc14323_WPSOffice_Level3"/>
      <w:bookmarkStart w:id="1104" w:name="_Toc5329_WPSOffice_Level3"/>
      <w:bookmarkStart w:id="1105" w:name="_Toc1858_WPSOffice_Level3"/>
      <w:bookmarkStart w:id="1106" w:name="_Toc17474_WPSOffice_Level3"/>
      <w:r>
        <w:rPr>
          <w:rFonts w:ascii="Times New Roman" w:hAnsi="Times New Roman" w:cs="Times New Roman"/>
          <w:color w:val="000000" w:themeColor="text1"/>
          <w:kern w:val="0"/>
          <w:sz w:val="24"/>
          <w:szCs w:val="24"/>
          <w:lang w:val="zh-CN"/>
        </w:rPr>
        <w:t>c、真实性:培训应贴近实际应急活动。</w:t>
      </w:r>
      <w:bookmarkEnd w:id="1101"/>
      <w:bookmarkEnd w:id="1102"/>
      <w:bookmarkEnd w:id="1103"/>
      <w:bookmarkEnd w:id="1104"/>
      <w:bookmarkEnd w:id="1105"/>
      <w:bookmarkEnd w:id="1106"/>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1107" w:name="_Toc6244"/>
      <w:bookmarkStart w:id="1108" w:name="_Toc302723380"/>
      <w:bookmarkStart w:id="1109" w:name="_Toc14712_WPSOffice_Level2"/>
      <w:bookmarkStart w:id="1110" w:name="_Toc13359"/>
      <w:bookmarkStart w:id="1111" w:name="_Toc17229"/>
      <w:bookmarkStart w:id="1112" w:name="_Toc10777"/>
      <w:bookmarkStart w:id="1113" w:name="_Toc14323_WPSOffice_Level2"/>
      <w:bookmarkStart w:id="1114" w:name="_Toc3206_WPSOffice_Level2"/>
      <w:bookmarkStart w:id="1115" w:name="_Toc28710_WPSOffice_Level2"/>
      <w:bookmarkStart w:id="1116" w:name="_Toc16426_WPSOffice_Level2"/>
      <w:bookmarkStart w:id="1117" w:name="_Toc18861"/>
      <w:r>
        <w:rPr>
          <w:rFonts w:ascii="Times New Roman" w:hAnsi="Times New Roman" w:cs="Times New Roman"/>
          <w:b/>
          <w:bCs/>
          <w:color w:val="000000" w:themeColor="text1"/>
          <w:sz w:val="24"/>
          <w:szCs w:val="24"/>
        </w:rPr>
        <w:t>9.2</w:t>
      </w:r>
      <w:bookmarkEnd w:id="1107"/>
      <w:bookmarkEnd w:id="1108"/>
      <w:r>
        <w:rPr>
          <w:rFonts w:ascii="Times New Roman" w:hAnsi="Times New Roman" w:cs="Times New Roman"/>
          <w:b/>
          <w:bCs/>
          <w:color w:val="000000" w:themeColor="text1"/>
          <w:sz w:val="24"/>
          <w:szCs w:val="24"/>
        </w:rPr>
        <w:t>演练</w:t>
      </w:r>
      <w:bookmarkEnd w:id="1109"/>
      <w:bookmarkEnd w:id="1110"/>
      <w:bookmarkEnd w:id="1111"/>
      <w:bookmarkEnd w:id="1112"/>
      <w:bookmarkEnd w:id="1113"/>
      <w:bookmarkEnd w:id="1114"/>
      <w:bookmarkEnd w:id="1115"/>
      <w:bookmarkEnd w:id="1116"/>
      <w:bookmarkEnd w:id="1117"/>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为检验应急计划的有效性、应急准备的完善性、应急响应能力的适应性和应急人员的协同性，定期对所涉及的内容和范围的不同，进行单项演练、综合演练和应急领导小组组织进行的联合演练。演练内容主要包括：</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单项演练：由部门负责人组织，对部门内部的突发环境污染事故进行专业培训及演练，演练内容为突发环境安全事件为可控级响应时采取的环保安全救援行动。每半年不低于一次。</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联合演练：由应急领导小组组织实施，参与部门及人员包括部门、应急办公室全体人员，演练内容包括加油站内突发环境安全事件为可控级响应及不可控级响应时的环保安全救援行动。联合演练周期为每年不得少于一次。</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具体演练内容：</w:t>
      </w:r>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118" w:name="_Toc28463_WPSOffice_Level3"/>
      <w:bookmarkStart w:id="1119" w:name="_Toc9870_WPSOffice_Level3"/>
      <w:bookmarkStart w:id="1120" w:name="_Toc25071_WPSOffice_Level3"/>
      <w:bookmarkStart w:id="1121" w:name="_Toc12887_WPSOffice_Level3"/>
      <w:bookmarkStart w:id="1122" w:name="_Toc20513_WPSOffice_Level3"/>
      <w:bookmarkStart w:id="1123" w:name="_Toc17979_WPSOffice_Level3"/>
      <w:r>
        <w:rPr>
          <w:rFonts w:hint="eastAsia" w:ascii="宋体" w:hAnsi="宋体" w:eastAsia="宋体" w:cs="宋体"/>
          <w:color w:val="000000" w:themeColor="text1"/>
          <w:kern w:val="0"/>
          <w:sz w:val="24"/>
          <w:szCs w:val="24"/>
          <w:lang w:val="zh-CN"/>
        </w:rPr>
        <w:t>①</w:t>
      </w:r>
      <w:r>
        <w:rPr>
          <w:rFonts w:ascii="Times New Roman" w:hAnsi="Times New Roman" w:cs="Times New Roman"/>
          <w:color w:val="000000" w:themeColor="text1"/>
          <w:kern w:val="0"/>
          <w:sz w:val="24"/>
          <w:szCs w:val="24"/>
          <w:lang w:val="zh-CN"/>
        </w:rPr>
        <w:t xml:space="preserve"> 消防灭火演练；</w:t>
      </w:r>
      <w:bookmarkEnd w:id="1118"/>
      <w:bookmarkEnd w:id="1119"/>
      <w:bookmarkEnd w:id="1120"/>
      <w:bookmarkEnd w:id="1121"/>
      <w:bookmarkEnd w:id="1122"/>
      <w:bookmarkEnd w:id="1123"/>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124" w:name="_Toc27516_WPSOffice_Level3"/>
      <w:bookmarkStart w:id="1125" w:name="_Toc3052_WPSOffice_Level3"/>
      <w:bookmarkStart w:id="1126" w:name="_Toc1624_WPSOffice_Level3"/>
      <w:bookmarkStart w:id="1127" w:name="_Toc19151_WPSOffice_Level3"/>
      <w:bookmarkStart w:id="1128" w:name="_Toc27359_WPSOffice_Level3"/>
      <w:bookmarkStart w:id="1129" w:name="_Toc250_WPSOffice_Level3"/>
      <w:r>
        <w:rPr>
          <w:rFonts w:hint="eastAsia" w:ascii="宋体" w:hAnsi="宋体" w:eastAsia="宋体" w:cs="宋体"/>
          <w:color w:val="000000" w:themeColor="text1"/>
          <w:kern w:val="0"/>
          <w:sz w:val="24"/>
          <w:szCs w:val="24"/>
          <w:lang w:val="zh-CN"/>
        </w:rPr>
        <w:t>②</w:t>
      </w:r>
      <w:r>
        <w:rPr>
          <w:rFonts w:ascii="Times New Roman" w:hAnsi="Times New Roman" w:cs="Times New Roman"/>
          <w:color w:val="000000" w:themeColor="text1"/>
          <w:kern w:val="0"/>
          <w:sz w:val="24"/>
          <w:szCs w:val="24"/>
          <w:lang w:val="zh-CN"/>
        </w:rPr>
        <w:t xml:space="preserve"> 泄露事故演练；</w:t>
      </w:r>
      <w:bookmarkEnd w:id="1124"/>
      <w:bookmarkEnd w:id="1125"/>
      <w:bookmarkEnd w:id="1126"/>
      <w:bookmarkEnd w:id="1127"/>
      <w:bookmarkEnd w:id="1128"/>
      <w:bookmarkEnd w:id="1129"/>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130" w:name="_Toc13800_WPSOffice_Level3"/>
      <w:bookmarkStart w:id="1131" w:name="_Toc26516_WPSOffice_Level3"/>
      <w:bookmarkStart w:id="1132" w:name="_Toc11526_WPSOffice_Level3"/>
      <w:bookmarkStart w:id="1133" w:name="_Toc26518_WPSOffice_Level3"/>
      <w:bookmarkStart w:id="1134" w:name="_Toc16650_WPSOffice_Level3"/>
      <w:bookmarkStart w:id="1135" w:name="_Toc17580_WPSOffice_Level3"/>
      <w:r>
        <w:rPr>
          <w:rFonts w:hint="eastAsia" w:ascii="宋体" w:hAnsi="宋体" w:eastAsia="宋体" w:cs="宋体"/>
          <w:color w:val="000000" w:themeColor="text1"/>
          <w:kern w:val="0"/>
          <w:sz w:val="24"/>
          <w:szCs w:val="24"/>
          <w:lang w:val="zh-CN"/>
        </w:rPr>
        <w:t>③</w:t>
      </w:r>
      <w:r>
        <w:rPr>
          <w:rFonts w:ascii="Times New Roman" w:hAnsi="Times New Roman" w:cs="Times New Roman"/>
          <w:color w:val="000000" w:themeColor="text1"/>
          <w:kern w:val="0"/>
          <w:sz w:val="24"/>
          <w:szCs w:val="24"/>
          <w:lang w:val="zh-CN"/>
        </w:rPr>
        <w:t xml:space="preserve"> 报警及通信演练；</w:t>
      </w:r>
      <w:bookmarkEnd w:id="1130"/>
      <w:bookmarkEnd w:id="1131"/>
      <w:bookmarkEnd w:id="1132"/>
      <w:bookmarkEnd w:id="1133"/>
      <w:bookmarkEnd w:id="1134"/>
      <w:bookmarkEnd w:id="1135"/>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136" w:name="_Toc11718_WPSOffice_Level3"/>
      <w:bookmarkStart w:id="1137" w:name="_Toc24548_WPSOffice_Level3"/>
      <w:bookmarkStart w:id="1138" w:name="_Toc1932_WPSOffice_Level3"/>
      <w:bookmarkStart w:id="1139" w:name="_Toc10260_WPSOffice_Level3"/>
      <w:bookmarkStart w:id="1140" w:name="_Toc6170_WPSOffice_Level3"/>
      <w:bookmarkStart w:id="1141" w:name="_Toc15856_WPSOffice_Level3"/>
      <w:r>
        <w:rPr>
          <w:rFonts w:hint="eastAsia" w:ascii="宋体" w:hAnsi="宋体" w:eastAsia="宋体" w:cs="宋体"/>
          <w:color w:val="000000" w:themeColor="text1"/>
          <w:kern w:val="0"/>
          <w:sz w:val="24"/>
          <w:szCs w:val="24"/>
          <w:lang w:val="zh-CN"/>
        </w:rPr>
        <w:t>④</w:t>
      </w:r>
      <w:r>
        <w:rPr>
          <w:rFonts w:ascii="Times New Roman" w:hAnsi="Times New Roman" w:cs="Times New Roman"/>
          <w:color w:val="000000" w:themeColor="text1"/>
          <w:kern w:val="0"/>
          <w:sz w:val="24"/>
          <w:szCs w:val="24"/>
          <w:lang w:val="zh-CN"/>
        </w:rPr>
        <w:t xml:space="preserve"> 人员疏散和交通管制演练；</w:t>
      </w:r>
      <w:bookmarkEnd w:id="1136"/>
      <w:bookmarkEnd w:id="1137"/>
      <w:bookmarkEnd w:id="1138"/>
      <w:bookmarkEnd w:id="1139"/>
      <w:bookmarkEnd w:id="1140"/>
      <w:bookmarkEnd w:id="1141"/>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142" w:name="_Toc18484_WPSOffice_Level3"/>
      <w:bookmarkStart w:id="1143" w:name="_Toc17249_WPSOffice_Level3"/>
      <w:bookmarkStart w:id="1144" w:name="_Toc32185_WPSOffice_Level3"/>
      <w:bookmarkStart w:id="1145" w:name="_Toc2529_WPSOffice_Level3"/>
      <w:bookmarkStart w:id="1146" w:name="_Toc25753_WPSOffice_Level3"/>
      <w:bookmarkStart w:id="1147" w:name="_Toc2635_WPSOffice_Level3"/>
      <w:r>
        <w:rPr>
          <w:rFonts w:hint="eastAsia" w:ascii="宋体" w:hAnsi="宋体" w:eastAsia="宋体" w:cs="宋体"/>
          <w:color w:val="000000" w:themeColor="text1"/>
          <w:kern w:val="0"/>
          <w:sz w:val="24"/>
          <w:szCs w:val="24"/>
          <w:lang w:val="zh-CN"/>
        </w:rPr>
        <w:t>⑤</w:t>
      </w:r>
      <w:r>
        <w:rPr>
          <w:rFonts w:ascii="Times New Roman" w:hAnsi="Times New Roman" w:cs="Times New Roman"/>
          <w:color w:val="000000" w:themeColor="text1"/>
          <w:kern w:val="0"/>
          <w:sz w:val="24"/>
          <w:szCs w:val="24"/>
          <w:lang w:val="zh-CN"/>
        </w:rPr>
        <w:t xml:space="preserve"> 情况通报演练；</w:t>
      </w:r>
      <w:bookmarkEnd w:id="1142"/>
      <w:bookmarkEnd w:id="1143"/>
      <w:bookmarkEnd w:id="1144"/>
      <w:bookmarkEnd w:id="1145"/>
      <w:bookmarkEnd w:id="1146"/>
      <w:bookmarkEnd w:id="1147"/>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148" w:name="_Toc4628_WPSOffice_Level3"/>
      <w:bookmarkStart w:id="1149" w:name="_Toc13277_WPSOffice_Level3"/>
      <w:bookmarkStart w:id="1150" w:name="_Toc1901_WPSOffice_Level3"/>
      <w:bookmarkStart w:id="1151" w:name="_Toc4378_WPSOffice_Level3"/>
      <w:bookmarkStart w:id="1152" w:name="_Toc5741_WPSOffice_Level3"/>
      <w:bookmarkStart w:id="1153" w:name="_Toc25773_WPSOffice_Level3"/>
      <w:r>
        <w:rPr>
          <w:rFonts w:hint="eastAsia" w:ascii="宋体" w:hAnsi="宋体" w:eastAsia="宋体" w:cs="宋体"/>
          <w:color w:val="000000" w:themeColor="text1"/>
          <w:kern w:val="0"/>
          <w:sz w:val="24"/>
          <w:szCs w:val="24"/>
          <w:lang w:val="zh-CN"/>
        </w:rPr>
        <w:t>⑥</w:t>
      </w:r>
      <w:r>
        <w:rPr>
          <w:rFonts w:ascii="Times New Roman" w:hAnsi="Times New Roman" w:cs="Times New Roman"/>
          <w:color w:val="000000" w:themeColor="text1"/>
          <w:kern w:val="0"/>
          <w:sz w:val="24"/>
          <w:szCs w:val="24"/>
          <w:lang w:val="zh-CN"/>
        </w:rPr>
        <w:t xml:space="preserve"> 各类应急设施的使用技能演练；</w:t>
      </w:r>
      <w:bookmarkEnd w:id="1148"/>
      <w:bookmarkEnd w:id="1149"/>
      <w:bookmarkEnd w:id="1150"/>
      <w:bookmarkEnd w:id="1151"/>
      <w:bookmarkEnd w:id="1152"/>
      <w:bookmarkEnd w:id="1153"/>
    </w:p>
    <w:p>
      <w:pPr>
        <w:spacing w:line="500" w:lineRule="exact"/>
        <w:ind w:firstLine="480" w:firstLineChars="200"/>
        <w:jc w:val="left"/>
        <w:rPr>
          <w:rFonts w:ascii="Times New Roman" w:hAnsi="Times New Roman" w:cs="Times New Roman"/>
          <w:color w:val="000000" w:themeColor="text1"/>
          <w:kern w:val="0"/>
          <w:sz w:val="24"/>
          <w:szCs w:val="24"/>
          <w:lang w:val="zh-CN"/>
        </w:rPr>
      </w:pPr>
      <w:bookmarkStart w:id="1154" w:name="_Toc27318_WPSOffice_Level3"/>
      <w:bookmarkStart w:id="1155" w:name="_Toc24026_WPSOffice_Level3"/>
      <w:bookmarkStart w:id="1156" w:name="_Toc13407_WPSOffice_Level3"/>
      <w:bookmarkStart w:id="1157" w:name="_Toc8088_WPSOffice_Level3"/>
      <w:bookmarkStart w:id="1158" w:name="_Toc29965_WPSOffice_Level3"/>
      <w:bookmarkStart w:id="1159" w:name="_Toc23384_WPSOffice_Level3"/>
      <w:r>
        <w:rPr>
          <w:rFonts w:hint="eastAsia" w:ascii="宋体" w:hAnsi="宋体" w:eastAsia="宋体" w:cs="宋体"/>
          <w:color w:val="000000" w:themeColor="text1"/>
          <w:kern w:val="0"/>
          <w:sz w:val="24"/>
          <w:szCs w:val="24"/>
          <w:lang w:val="zh-CN"/>
        </w:rPr>
        <w:t>⑦</w:t>
      </w:r>
      <w:r>
        <w:rPr>
          <w:rFonts w:ascii="Times New Roman" w:hAnsi="Times New Roman" w:cs="Times New Roman"/>
          <w:color w:val="000000" w:themeColor="text1"/>
          <w:kern w:val="0"/>
          <w:sz w:val="24"/>
          <w:szCs w:val="24"/>
          <w:lang w:val="zh-CN"/>
        </w:rPr>
        <w:t xml:space="preserve"> 模拟各类事件的快速反应演练等。</w:t>
      </w:r>
      <w:bookmarkEnd w:id="1154"/>
      <w:bookmarkEnd w:id="1155"/>
      <w:bookmarkEnd w:id="1156"/>
      <w:bookmarkEnd w:id="1157"/>
      <w:bookmarkEnd w:id="1158"/>
      <w:bookmarkEnd w:id="1159"/>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1160" w:name="_Toc4447_WPSOffice_Level2"/>
      <w:bookmarkStart w:id="1161" w:name="_Toc21906"/>
      <w:bookmarkStart w:id="1162" w:name="_Toc3337_WPSOffice_Level2"/>
      <w:bookmarkStart w:id="1163" w:name="_Toc765_WPSOffice_Level2"/>
      <w:bookmarkStart w:id="1164" w:name="_Toc302723381"/>
      <w:bookmarkStart w:id="1165" w:name="_Toc27975"/>
      <w:bookmarkStart w:id="1166" w:name="_Toc2006_WPSOffice_Level2"/>
      <w:bookmarkStart w:id="1167" w:name="_Toc9024_WPSOffice_Level2"/>
      <w:bookmarkStart w:id="1168" w:name="_Toc32593"/>
      <w:bookmarkStart w:id="1169" w:name="_Toc21475"/>
      <w:bookmarkStart w:id="1170" w:name="_Toc29254"/>
      <w:r>
        <w:rPr>
          <w:rFonts w:ascii="Times New Roman" w:hAnsi="Times New Roman" w:cs="Times New Roman"/>
          <w:b/>
          <w:bCs/>
          <w:color w:val="000000" w:themeColor="text1"/>
          <w:sz w:val="24"/>
          <w:szCs w:val="24"/>
        </w:rPr>
        <w:t>9.3记录与考核</w:t>
      </w:r>
      <w:bookmarkEnd w:id="1160"/>
      <w:bookmarkEnd w:id="1161"/>
      <w:bookmarkEnd w:id="1162"/>
      <w:bookmarkEnd w:id="1163"/>
      <w:bookmarkEnd w:id="1164"/>
      <w:bookmarkEnd w:id="1165"/>
      <w:bookmarkEnd w:id="1166"/>
      <w:bookmarkEnd w:id="1167"/>
      <w:bookmarkEnd w:id="1168"/>
      <w:bookmarkEnd w:id="1169"/>
      <w:bookmarkEnd w:id="1170"/>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随着应急救援相关法律法规的制定、修改和完善，或者应急过程中发现存在的问题和出现新的情况，要做好相关记录和考核，及时修订完善本预案。</w:t>
      </w:r>
    </w:p>
    <w:p>
      <w:pPr>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br w:type="page"/>
      </w:r>
    </w:p>
    <w:p>
      <w:pPr>
        <w:keepNext/>
        <w:keepLines/>
        <w:spacing w:beforeLines="100" w:afterLines="100" w:line="460" w:lineRule="exact"/>
        <w:jc w:val="center"/>
        <w:outlineLvl w:val="0"/>
        <w:rPr>
          <w:rFonts w:ascii="Times New Roman" w:hAnsi="Times New Roman" w:cs="Times New Roman"/>
          <w:b/>
          <w:bCs/>
          <w:color w:val="000000" w:themeColor="text1"/>
          <w:kern w:val="44"/>
          <w:sz w:val="30"/>
          <w:szCs w:val="30"/>
        </w:rPr>
      </w:pPr>
      <w:bookmarkStart w:id="1171" w:name="_Toc31572_WPSOffice_Level1"/>
      <w:bookmarkStart w:id="1172" w:name="_Toc28710_WPSOffice_Level1"/>
      <w:bookmarkStart w:id="1173" w:name="_Toc5400"/>
      <w:bookmarkStart w:id="1174" w:name="_Toc12754_WPSOffice_Level1"/>
      <w:bookmarkStart w:id="1175" w:name="_Toc18959_WPSOffice_Level1"/>
      <w:bookmarkStart w:id="1176" w:name="_Toc5642"/>
      <w:bookmarkStart w:id="1177" w:name="_Toc31106"/>
      <w:bookmarkStart w:id="1178" w:name="_Toc5341_WPSOffice_Level1"/>
      <w:r>
        <w:rPr>
          <w:rFonts w:ascii="Times New Roman" w:hAnsi="Times New Roman" w:cs="Times New Roman"/>
          <w:b/>
          <w:bCs/>
          <w:color w:val="000000" w:themeColor="text1"/>
          <w:kern w:val="44"/>
          <w:sz w:val="30"/>
          <w:szCs w:val="30"/>
        </w:rPr>
        <w:t>10、奖惩</w:t>
      </w:r>
      <w:bookmarkEnd w:id="1171"/>
      <w:bookmarkEnd w:id="1172"/>
      <w:bookmarkEnd w:id="1173"/>
      <w:bookmarkEnd w:id="1174"/>
      <w:bookmarkEnd w:id="1175"/>
      <w:bookmarkEnd w:id="1176"/>
      <w:bookmarkEnd w:id="1177"/>
      <w:bookmarkEnd w:id="1178"/>
    </w:p>
    <w:p>
      <w:pPr>
        <w:keepNext/>
        <w:keepLines/>
        <w:spacing w:beforeLines="50" w:afterLines="50" w:line="460" w:lineRule="exact"/>
        <w:jc w:val="left"/>
        <w:outlineLvl w:val="1"/>
        <w:rPr>
          <w:rFonts w:ascii="Times New Roman" w:hAnsi="Times New Roman" w:cs="Times New Roman"/>
          <w:b/>
          <w:bCs/>
          <w:color w:val="000000" w:themeColor="text1"/>
          <w:sz w:val="24"/>
          <w:szCs w:val="24"/>
        </w:rPr>
      </w:pPr>
      <w:bookmarkStart w:id="1179" w:name="_Toc9664_WPSOffice_Level2"/>
      <w:bookmarkStart w:id="1180" w:name="_Toc27451_WPSOffice_Level2"/>
      <w:bookmarkStart w:id="1181" w:name="_Toc5329_WPSOffice_Level2"/>
      <w:bookmarkStart w:id="1182" w:name="_Toc23503_WPSOffice_Level2"/>
      <w:bookmarkStart w:id="1183" w:name="_Toc12311"/>
      <w:bookmarkStart w:id="1184" w:name="_Toc21871_WPSOffice_Level2"/>
      <w:bookmarkStart w:id="1185" w:name="_Toc29036"/>
      <w:bookmarkStart w:id="1186" w:name="_Toc12646"/>
      <w:bookmarkStart w:id="1187" w:name="_Toc656"/>
      <w:r>
        <w:rPr>
          <w:rFonts w:ascii="Times New Roman" w:hAnsi="Times New Roman" w:cs="Times New Roman"/>
          <w:b/>
          <w:bCs/>
          <w:color w:val="000000" w:themeColor="text1"/>
          <w:sz w:val="24"/>
          <w:szCs w:val="24"/>
        </w:rPr>
        <w:t>10.1事故应急救援工作实行奖励制</w:t>
      </w:r>
      <w:bookmarkEnd w:id="1179"/>
      <w:bookmarkEnd w:id="1180"/>
      <w:bookmarkEnd w:id="1181"/>
      <w:bookmarkEnd w:id="1182"/>
      <w:bookmarkEnd w:id="1183"/>
      <w:bookmarkEnd w:id="1184"/>
      <w:bookmarkEnd w:id="1185"/>
      <w:bookmarkEnd w:id="1186"/>
      <w:bookmarkEnd w:id="1187"/>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在突发环境事件应急救援工作中，有下列事迹之一的单位和个人，应依据有关规定给予奖励：</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（1）出色完成突发环境事件应急处置任务，成绩显著的；</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（2）对防止或挽救突发环境事件有功，使国家、集体、和人民群众的生命财产免受或者减少损失的；</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（3）对事件应急准备与响应提出重大建议，实施效果显著的；</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（4）有其他特殊贡献的。</w:t>
      </w:r>
    </w:p>
    <w:p>
      <w:pPr>
        <w:keepNext/>
        <w:keepLines/>
        <w:spacing w:beforeLines="50" w:afterLines="50" w:line="460" w:lineRule="exact"/>
        <w:jc w:val="left"/>
        <w:outlineLvl w:val="1"/>
        <w:rPr>
          <w:rFonts w:ascii="Times New Roman" w:hAnsi="Times New Roman" w:cs="Times New Roman"/>
          <w:b/>
          <w:bCs/>
          <w:color w:val="000000" w:themeColor="text1"/>
          <w:sz w:val="24"/>
          <w:szCs w:val="24"/>
        </w:rPr>
      </w:pPr>
      <w:bookmarkStart w:id="1188" w:name="_Toc19427_WPSOffice_Level2"/>
      <w:bookmarkStart w:id="1189" w:name="_Toc10702"/>
      <w:bookmarkStart w:id="1190" w:name="_Toc17979_WPSOffice_Level2"/>
      <w:bookmarkStart w:id="1191" w:name="_Toc1483_WPSOffice_Level2"/>
      <w:bookmarkStart w:id="1192" w:name="_Toc24711_WPSOffice_Level2"/>
      <w:bookmarkStart w:id="1193" w:name="_Toc6595_WPSOffice_Level2"/>
      <w:bookmarkStart w:id="1194" w:name="_Toc26006"/>
      <w:bookmarkStart w:id="1195" w:name="_Toc10451"/>
      <w:bookmarkStart w:id="1196" w:name="_Toc11110"/>
      <w:r>
        <w:rPr>
          <w:rFonts w:ascii="Times New Roman" w:hAnsi="Times New Roman" w:cs="Times New Roman"/>
          <w:b/>
          <w:bCs/>
          <w:color w:val="000000" w:themeColor="text1"/>
          <w:sz w:val="24"/>
          <w:szCs w:val="24"/>
        </w:rPr>
        <w:t>10.2事故应急救援工作实行责任追究制</w:t>
      </w:r>
      <w:bookmarkEnd w:id="1188"/>
      <w:bookmarkEnd w:id="1189"/>
      <w:bookmarkEnd w:id="1190"/>
      <w:bookmarkEnd w:id="1191"/>
      <w:bookmarkEnd w:id="1192"/>
      <w:bookmarkEnd w:id="1193"/>
      <w:bookmarkEnd w:id="1194"/>
      <w:bookmarkEnd w:id="1195"/>
      <w:bookmarkEnd w:id="1196"/>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在突发环境事件应急工作中，有下列行为之一的，按照有关法律和规定，对有关责任人员视情节和危害后果，由其所在单位或者上级机关给予行政处分；其中，对国家公务员和</w:t>
      </w:r>
      <w:r>
        <w:fldChar w:fldCharType="begin"/>
      </w:r>
      <w:r>
        <w:instrText xml:space="preserve"> HYPERLINK "http://baike.baidu.com/view/59836.htm" </w:instrText>
      </w:r>
      <w:r>
        <w:fldChar w:fldCharType="separate"/>
      </w:r>
      <w:r>
        <w:rPr>
          <w:rFonts w:ascii="Times New Roman" w:hAnsi="Times New Roman" w:cs="Times New Roman"/>
          <w:color w:val="000000" w:themeColor="text1"/>
          <w:kern w:val="0"/>
          <w:sz w:val="24"/>
          <w:szCs w:val="24"/>
          <w:lang w:val="zh-CN"/>
        </w:rPr>
        <w:t>国家行政机关</w:t>
      </w:r>
      <w:r>
        <w:rPr>
          <w:rFonts w:ascii="Times New Roman" w:hAnsi="Times New Roman" w:cs="Times New Roman"/>
          <w:color w:val="000000" w:themeColor="text1"/>
          <w:kern w:val="0"/>
          <w:sz w:val="24"/>
          <w:szCs w:val="24"/>
          <w:lang w:val="zh-CN"/>
        </w:rPr>
        <w:fldChar w:fldCharType="end"/>
      </w:r>
      <w:r>
        <w:rPr>
          <w:rFonts w:ascii="Times New Roman" w:hAnsi="Times New Roman" w:cs="Times New Roman"/>
          <w:color w:val="000000" w:themeColor="text1"/>
          <w:kern w:val="0"/>
          <w:sz w:val="24"/>
          <w:szCs w:val="24"/>
          <w:lang w:val="zh-CN"/>
        </w:rPr>
        <w:t>任命的其他人员，分别由任免机关或者监察机关给予行政处分；构成犯罪的，由司法机关依法追究刑事责任：</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（1）不认真履行环保法律、法规，而引发环境事件的；</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（2）不按照规定制定突发环境事件应急预案，拒绝承担突发环境事件应急准备义务的；</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（3）不按规定报告、通报突发环境事件真实情况的；</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（4）拒不执行突发环境事件应急预案，不服从命令和指挥，或者在事件应急响应时临阵脱逃的；</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（5）盗窃、贪污、挪用环境事件应急工作资金、装备和物资的；</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（6）阻碍环境事件应急工作人员依法执行职务或者进行破坏活动的；</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（7）散布谣言，扰乱社会秩序的；</w:t>
      </w:r>
    </w:p>
    <w:p>
      <w:pPr>
        <w:spacing w:line="46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（8）有其他对环境事件应急工作造成危害行为的。</w:t>
      </w:r>
    </w:p>
    <w:p>
      <w:pPr>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br w:type="page"/>
      </w:r>
    </w:p>
    <w:p>
      <w:pPr>
        <w:keepNext/>
        <w:keepLines/>
        <w:spacing w:beforeLines="100" w:afterLines="100" w:line="500" w:lineRule="exact"/>
        <w:jc w:val="center"/>
        <w:outlineLvl w:val="0"/>
        <w:rPr>
          <w:rFonts w:ascii="Times New Roman" w:hAnsi="Times New Roman" w:cs="Times New Roman"/>
          <w:b/>
          <w:bCs/>
          <w:color w:val="000000" w:themeColor="text1"/>
          <w:kern w:val="44"/>
          <w:sz w:val="30"/>
          <w:szCs w:val="30"/>
        </w:rPr>
      </w:pPr>
      <w:bookmarkStart w:id="1197" w:name="_Toc2484"/>
      <w:bookmarkStart w:id="1198" w:name="_Toc765_WPSOffice_Level1"/>
      <w:bookmarkStart w:id="1199" w:name="_Toc8689_WPSOffice_Level1"/>
      <w:bookmarkStart w:id="1200" w:name="_Toc21948"/>
      <w:bookmarkStart w:id="1201" w:name="_Toc32460"/>
      <w:bookmarkStart w:id="1202" w:name="_Toc28012"/>
      <w:bookmarkStart w:id="1203" w:name="_Toc5021_WPSOffice_Level1"/>
      <w:bookmarkStart w:id="1204" w:name="_Toc12232_WPSOffice_Level1"/>
      <w:bookmarkStart w:id="1205" w:name="_Toc6417_WPSOffice_Level1"/>
      <w:bookmarkStart w:id="1206" w:name="_Toc15904"/>
      <w:r>
        <w:rPr>
          <w:rFonts w:ascii="Times New Roman" w:hAnsi="Times New Roman" w:cs="Times New Roman"/>
          <w:b/>
          <w:bCs/>
          <w:color w:val="000000" w:themeColor="text1"/>
          <w:kern w:val="44"/>
          <w:sz w:val="30"/>
          <w:szCs w:val="30"/>
        </w:rPr>
        <w:t>11、预案的评审、备案、发布和更新</w:t>
      </w:r>
      <w:bookmarkEnd w:id="1197"/>
      <w:bookmarkEnd w:id="1198"/>
      <w:bookmarkEnd w:id="1199"/>
      <w:bookmarkEnd w:id="1200"/>
      <w:bookmarkEnd w:id="1201"/>
      <w:bookmarkEnd w:id="1202"/>
      <w:bookmarkEnd w:id="1203"/>
      <w:bookmarkEnd w:id="1204"/>
      <w:bookmarkEnd w:id="1205"/>
      <w:bookmarkEnd w:id="1206"/>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1207" w:name="_Toc18661"/>
      <w:bookmarkStart w:id="1208" w:name="_Toc4771"/>
      <w:bookmarkStart w:id="1209" w:name="_Toc12232_WPSOffice_Level2"/>
      <w:bookmarkStart w:id="1210" w:name="_Toc30581_WPSOffice_Level2"/>
      <w:bookmarkStart w:id="1211" w:name="_Toc9099_WPSOffice_Level2"/>
      <w:bookmarkStart w:id="1212" w:name="_Toc27516_WPSOffice_Level2"/>
      <w:bookmarkStart w:id="1213" w:name="_Toc26203_WPSOffice_Level2"/>
      <w:bookmarkStart w:id="1214" w:name="_Toc31519"/>
      <w:bookmarkStart w:id="1215" w:name="_Toc26826"/>
      <w:bookmarkStart w:id="1216" w:name="_Toc302723384"/>
      <w:r>
        <w:rPr>
          <w:rFonts w:ascii="Times New Roman" w:hAnsi="Times New Roman" w:cs="Times New Roman"/>
          <w:b/>
          <w:bCs/>
          <w:color w:val="000000" w:themeColor="text1"/>
          <w:sz w:val="24"/>
          <w:szCs w:val="24"/>
        </w:rPr>
        <w:t>11.1预案评审</w:t>
      </w:r>
      <w:bookmarkEnd w:id="1207"/>
      <w:bookmarkEnd w:id="1208"/>
      <w:bookmarkEnd w:id="1209"/>
      <w:bookmarkEnd w:id="1210"/>
      <w:bookmarkEnd w:id="1211"/>
      <w:bookmarkEnd w:id="1212"/>
      <w:bookmarkEnd w:id="1213"/>
      <w:bookmarkEnd w:id="1214"/>
      <w:bookmarkEnd w:id="1215"/>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应急预案评审由加油站应急办公室根据演练结果及其他信息，每年组织一次内部评审，三年组织一次回顾性评估，进行修订，以确保预案的持续适宜性，评审时间和评审方式视具体情况而定。</w:t>
      </w:r>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1217" w:name="_Toc30295"/>
      <w:bookmarkStart w:id="1218" w:name="_Toc17580_WPSOffice_Level2"/>
      <w:bookmarkStart w:id="1219" w:name="_Toc23929"/>
      <w:bookmarkStart w:id="1220" w:name="_Toc9104_WPSOffice_Level2"/>
      <w:bookmarkStart w:id="1221" w:name="_Toc27762_WPSOffice_Level2"/>
      <w:bookmarkStart w:id="1222" w:name="_Toc19968"/>
      <w:bookmarkStart w:id="1223" w:name="_Toc8887_WPSOffice_Level2"/>
      <w:bookmarkStart w:id="1224" w:name="_Toc22980_WPSOffice_Level2"/>
      <w:bookmarkStart w:id="1225" w:name="_Toc15775"/>
      <w:r>
        <w:rPr>
          <w:rFonts w:ascii="Times New Roman" w:hAnsi="Times New Roman" w:cs="Times New Roman"/>
          <w:b/>
          <w:bCs/>
          <w:color w:val="000000" w:themeColor="text1"/>
          <w:sz w:val="24"/>
          <w:szCs w:val="24"/>
        </w:rPr>
        <w:t>11.2预案备案</w:t>
      </w:r>
      <w:bookmarkEnd w:id="1217"/>
      <w:bookmarkEnd w:id="1218"/>
      <w:bookmarkEnd w:id="1219"/>
      <w:bookmarkEnd w:id="1220"/>
      <w:bookmarkEnd w:id="1221"/>
      <w:bookmarkEnd w:id="1222"/>
      <w:bookmarkEnd w:id="1223"/>
      <w:bookmarkEnd w:id="1224"/>
      <w:bookmarkEnd w:id="1225"/>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加油站应将最新版本突发环境应急预案报当地政府环境保护局或应急管理部门备案。</w:t>
      </w:r>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1226" w:name="_Toc2501"/>
      <w:bookmarkStart w:id="1227" w:name="_Toc27729_WPSOffice_Level2"/>
      <w:bookmarkStart w:id="1228" w:name="_Toc9855"/>
      <w:bookmarkStart w:id="1229" w:name="_Toc11577_WPSOffice_Level2"/>
      <w:bookmarkStart w:id="1230" w:name="_Toc960_WPSOffice_Level2"/>
      <w:bookmarkStart w:id="1231" w:name="_Toc17778_WPSOffice_Level2"/>
      <w:bookmarkStart w:id="1232" w:name="_Toc24244"/>
      <w:bookmarkStart w:id="1233" w:name="_Toc307"/>
      <w:bookmarkStart w:id="1234" w:name="_Toc15856_WPSOffice_Level2"/>
      <w:r>
        <w:rPr>
          <w:rFonts w:ascii="Times New Roman" w:hAnsi="Times New Roman" w:cs="Times New Roman"/>
          <w:b/>
          <w:bCs/>
          <w:color w:val="000000" w:themeColor="text1"/>
          <w:sz w:val="24"/>
          <w:szCs w:val="24"/>
        </w:rPr>
        <w:t>11.3预案发布与发放</w:t>
      </w:r>
      <w:bookmarkEnd w:id="1226"/>
      <w:bookmarkEnd w:id="1227"/>
      <w:bookmarkEnd w:id="1228"/>
      <w:bookmarkEnd w:id="1229"/>
      <w:bookmarkEnd w:id="1230"/>
      <w:bookmarkEnd w:id="1231"/>
      <w:bookmarkEnd w:id="1232"/>
      <w:bookmarkEnd w:id="1233"/>
      <w:bookmarkEnd w:id="1234"/>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1）加油站突发环境应急预案经加油站应急办公室组织评审后，由总经理签署发布；</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2）应急办公室负责对应急预案的统一管理；</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3）办公室负责预案的管理发放，发放应建立发放记录，并及时对已发放预案进行更新，确保各部门获得最新版本的应急预案；</w:t>
      </w:r>
    </w:p>
    <w:p>
      <w:pPr>
        <w:spacing w:line="500" w:lineRule="exact"/>
        <w:ind w:firstLine="480" w:firstLineChars="200"/>
        <w:jc w:val="left"/>
        <w:rPr>
          <w:rFonts w:ascii="Times New Roman" w:hAnsi="Times New Roman" w:cs="Times New Roman"/>
          <w:color w:val="000000" w:themeColor="text1"/>
          <w:kern w:val="0"/>
          <w:sz w:val="24"/>
          <w:szCs w:val="24"/>
          <w:lang w:val="zh-CN"/>
        </w:rPr>
      </w:pPr>
      <w:r>
        <w:rPr>
          <w:rFonts w:ascii="Times New Roman" w:hAnsi="Times New Roman" w:cs="Times New Roman"/>
          <w:color w:val="000000" w:themeColor="text1"/>
          <w:kern w:val="0"/>
          <w:sz w:val="24"/>
          <w:szCs w:val="24"/>
          <w:lang w:val="zh-CN"/>
        </w:rPr>
        <w:t>4）应发放到应急指挥小组成员和各部门主要负责人及岗位。</w:t>
      </w:r>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1235" w:name="_Toc27547"/>
      <w:bookmarkStart w:id="1236" w:name="_Toc6510"/>
      <w:bookmarkStart w:id="1237" w:name="_Toc11709_WPSOffice_Level2"/>
      <w:bookmarkStart w:id="1238" w:name="_Toc2978_WPSOffice_Level2"/>
      <w:bookmarkStart w:id="1239" w:name="_Toc11258_WPSOffice_Level2"/>
      <w:bookmarkStart w:id="1240" w:name="_Toc26198_WPSOffice_Level2"/>
      <w:bookmarkStart w:id="1241" w:name="_Toc25927"/>
      <w:bookmarkStart w:id="1242" w:name="_Toc23484"/>
      <w:bookmarkStart w:id="1243" w:name="_Toc25753_WPSOffice_Level2"/>
      <w:r>
        <w:rPr>
          <w:rFonts w:ascii="Times New Roman" w:hAnsi="Times New Roman" w:cs="Times New Roman"/>
          <w:b/>
          <w:bCs/>
          <w:color w:val="000000" w:themeColor="text1"/>
          <w:sz w:val="24"/>
          <w:szCs w:val="24"/>
        </w:rPr>
        <w:t>11.4应急预案的修订</w:t>
      </w:r>
      <w:bookmarkEnd w:id="1235"/>
      <w:bookmarkEnd w:id="1236"/>
      <w:bookmarkEnd w:id="1237"/>
      <w:bookmarkEnd w:id="1238"/>
      <w:bookmarkEnd w:id="1239"/>
      <w:bookmarkEnd w:id="1240"/>
      <w:bookmarkEnd w:id="1241"/>
      <w:bookmarkEnd w:id="1242"/>
      <w:bookmarkEnd w:id="1243"/>
    </w:p>
    <w:p>
      <w:pPr>
        <w:autoSpaceDN w:val="0"/>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随着应急救援相关法律法规的制定、修改和完善，或者应急救援和演练过程中发现存在的问题和出现新的情况，及时修订完善本预案。</w:t>
      </w:r>
    </w:p>
    <w:p>
      <w:pPr>
        <w:autoSpaceDN w:val="0"/>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应急预案评审由加油站应急办公室根据每年演练结果及其他信息，每年组织一次内部评审，三年组织一次回顾性评估，进行预案修订更新，以确保预案的持续适宜性，评审时间和评审方式视具体情况而定。</w:t>
      </w:r>
    </w:p>
    <w:p>
      <w:pPr>
        <w:keepNext/>
        <w:keepLines/>
        <w:spacing w:before="240" w:after="240" w:line="500" w:lineRule="exact"/>
        <w:jc w:val="left"/>
        <w:outlineLvl w:val="2"/>
        <w:rPr>
          <w:rFonts w:ascii="Times New Roman" w:hAnsi="Times New Roman" w:cs="Times New Roman"/>
          <w:b/>
          <w:color w:val="000000" w:themeColor="text1"/>
          <w:sz w:val="24"/>
          <w:szCs w:val="24"/>
        </w:rPr>
      </w:pPr>
      <w:bookmarkStart w:id="1244" w:name="_Toc29507"/>
      <w:bookmarkStart w:id="1245" w:name="_Toc10897_WPSOffice_Level3"/>
      <w:bookmarkStart w:id="1246" w:name="_Toc13735"/>
      <w:bookmarkStart w:id="1247" w:name="_Toc567_WPSOffice_Level3"/>
      <w:bookmarkStart w:id="1248" w:name="_Toc22457_WPSOffice_Level3"/>
      <w:bookmarkStart w:id="1249" w:name="_Toc26932_WPSOffice_Level3"/>
      <w:bookmarkStart w:id="1250" w:name="_Toc17585_WPSOffice_Level3"/>
      <w:bookmarkStart w:id="1251" w:name="_Toc32167"/>
      <w:r>
        <w:rPr>
          <w:rFonts w:ascii="Times New Roman" w:hAnsi="Times New Roman" w:cs="Times New Roman"/>
          <w:b/>
          <w:color w:val="000000" w:themeColor="text1"/>
          <w:sz w:val="24"/>
          <w:szCs w:val="24"/>
        </w:rPr>
        <w:t>11.4.1应急预案在下列情况下，应对应急预案及时修订</w:t>
      </w:r>
      <w:bookmarkEnd w:id="1244"/>
      <w:bookmarkEnd w:id="1245"/>
      <w:bookmarkEnd w:id="1246"/>
      <w:bookmarkEnd w:id="1247"/>
      <w:bookmarkEnd w:id="1248"/>
      <w:bookmarkEnd w:id="1249"/>
      <w:bookmarkEnd w:id="1250"/>
      <w:bookmarkEnd w:id="1251"/>
    </w:p>
    <w:p>
      <w:pPr>
        <w:spacing w:line="500" w:lineRule="exact"/>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w:t>
      </w:r>
      <w:r>
        <w:rPr>
          <w:rFonts w:ascii="Times New Roman" w:hAnsi="Times New Roman" w:cs="Times New Roman"/>
          <w:color w:val="000000" w:themeColor="text1"/>
          <w:sz w:val="24"/>
          <w:szCs w:val="24"/>
        </w:rPr>
        <w:t>1</w:t>
      </w:r>
      <w:r>
        <w:rPr>
          <w:rFonts w:ascii="Times New Roman" w:hAnsi="Times New Roman" w:cs="Times New Roman"/>
          <w:color w:val="000000" w:themeColor="text1"/>
          <w:sz w:val="24"/>
          <w:szCs w:val="24"/>
          <w:lang w:val="zh-CN"/>
        </w:rPr>
        <w:t>）危险源发生变化（包括危险源种类、数量、位置）；</w:t>
      </w:r>
    </w:p>
    <w:p>
      <w:pPr>
        <w:spacing w:line="500" w:lineRule="exact"/>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w:t>
      </w:r>
      <w:r>
        <w:rPr>
          <w:rFonts w:ascii="Times New Roman" w:hAnsi="Times New Roman" w:cs="Times New Roman"/>
          <w:color w:val="000000" w:themeColor="text1"/>
          <w:sz w:val="24"/>
          <w:szCs w:val="24"/>
        </w:rPr>
        <w:t>2</w:t>
      </w:r>
      <w:r>
        <w:rPr>
          <w:rFonts w:ascii="Times New Roman" w:hAnsi="Times New Roman" w:cs="Times New Roman"/>
          <w:color w:val="000000" w:themeColor="text1"/>
          <w:sz w:val="24"/>
          <w:szCs w:val="24"/>
          <w:lang w:val="zh-CN"/>
        </w:rPr>
        <w:t>）应急机构或人员发生变化；</w:t>
      </w:r>
    </w:p>
    <w:p>
      <w:pPr>
        <w:spacing w:line="500" w:lineRule="exact"/>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（3）环境应急监测预警及报告机制、应对流程和措施、应急保障措施发生重大变化的；</w:t>
      </w:r>
    </w:p>
    <w:p>
      <w:pPr>
        <w:spacing w:line="500" w:lineRule="exact"/>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w:t>
      </w:r>
      <w:r>
        <w:rPr>
          <w:rFonts w:ascii="Times New Roman" w:hAnsi="Times New Roman" w:cs="Times New Roman"/>
          <w:color w:val="000000" w:themeColor="text1"/>
          <w:sz w:val="24"/>
          <w:szCs w:val="24"/>
        </w:rPr>
        <w:t>4</w:t>
      </w:r>
      <w:r>
        <w:rPr>
          <w:rFonts w:ascii="Times New Roman" w:hAnsi="Times New Roman" w:cs="Times New Roman"/>
          <w:color w:val="000000" w:themeColor="text1"/>
          <w:sz w:val="24"/>
          <w:szCs w:val="24"/>
          <w:lang w:val="zh-CN"/>
        </w:rPr>
        <w:t>）应急装备、设施发生变化；</w:t>
      </w:r>
    </w:p>
    <w:p>
      <w:pPr>
        <w:spacing w:line="500" w:lineRule="exact"/>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w:t>
      </w:r>
      <w:r>
        <w:rPr>
          <w:rFonts w:ascii="Times New Roman" w:hAnsi="Times New Roman" w:cs="Times New Roman"/>
          <w:color w:val="000000" w:themeColor="text1"/>
          <w:sz w:val="24"/>
          <w:szCs w:val="24"/>
        </w:rPr>
        <w:t>5</w:t>
      </w:r>
      <w:r>
        <w:rPr>
          <w:rFonts w:ascii="Times New Roman" w:hAnsi="Times New Roman" w:cs="Times New Roman"/>
          <w:color w:val="000000" w:themeColor="text1"/>
          <w:sz w:val="24"/>
          <w:szCs w:val="24"/>
          <w:lang w:val="zh-CN"/>
        </w:rPr>
        <w:t>）应急演练评价中发生存在不符合项；</w:t>
      </w:r>
    </w:p>
    <w:p>
      <w:pPr>
        <w:spacing w:line="500" w:lineRule="exact"/>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w:t>
      </w:r>
      <w:r>
        <w:rPr>
          <w:rFonts w:ascii="Times New Roman" w:hAnsi="Times New Roman" w:cs="Times New Roman"/>
          <w:color w:val="000000" w:themeColor="text1"/>
          <w:sz w:val="24"/>
          <w:szCs w:val="24"/>
        </w:rPr>
        <w:t>6</w:t>
      </w:r>
      <w:r>
        <w:rPr>
          <w:rFonts w:ascii="Times New Roman" w:hAnsi="Times New Roman" w:cs="Times New Roman"/>
          <w:color w:val="000000" w:themeColor="text1"/>
          <w:sz w:val="24"/>
          <w:szCs w:val="24"/>
          <w:lang w:val="zh-CN"/>
        </w:rPr>
        <w:t>）法律、法规发生变化。</w:t>
      </w:r>
    </w:p>
    <w:p>
      <w:pPr>
        <w:keepNext/>
        <w:keepLines/>
        <w:spacing w:before="240" w:after="240" w:line="500" w:lineRule="exact"/>
        <w:jc w:val="left"/>
        <w:outlineLvl w:val="2"/>
        <w:rPr>
          <w:rFonts w:ascii="Times New Roman" w:hAnsi="Times New Roman" w:cs="Times New Roman"/>
          <w:b/>
          <w:color w:val="000000" w:themeColor="text1"/>
          <w:sz w:val="24"/>
          <w:szCs w:val="24"/>
        </w:rPr>
      </w:pPr>
      <w:bookmarkStart w:id="1252" w:name="_Toc438_WPSOffice_Level3"/>
      <w:bookmarkStart w:id="1253" w:name="_Toc7372_WPSOffice_Level3"/>
      <w:bookmarkStart w:id="1254" w:name="_Toc59_WPSOffice_Level3"/>
      <w:bookmarkStart w:id="1255" w:name="_Toc17253_WPSOffice_Level3"/>
      <w:bookmarkStart w:id="1256" w:name="_Toc22931"/>
      <w:bookmarkStart w:id="1257" w:name="_Toc25272"/>
      <w:bookmarkStart w:id="1258" w:name="_Toc15648_WPSOffice_Level3"/>
      <w:bookmarkStart w:id="1259" w:name="_Toc16811"/>
      <w:r>
        <w:rPr>
          <w:rFonts w:ascii="Times New Roman" w:hAnsi="Times New Roman" w:cs="Times New Roman"/>
          <w:b/>
          <w:color w:val="000000" w:themeColor="text1"/>
          <w:sz w:val="24"/>
          <w:szCs w:val="24"/>
        </w:rPr>
        <w:t>11.4.2应急预案更改、修订程序</w:t>
      </w:r>
      <w:bookmarkEnd w:id="1252"/>
      <w:bookmarkEnd w:id="1253"/>
      <w:bookmarkEnd w:id="1254"/>
      <w:bookmarkEnd w:id="1255"/>
      <w:bookmarkEnd w:id="1256"/>
      <w:bookmarkEnd w:id="1257"/>
      <w:bookmarkEnd w:id="1258"/>
      <w:bookmarkEnd w:id="1259"/>
    </w:p>
    <w:p>
      <w:pPr>
        <w:spacing w:line="500" w:lineRule="exact"/>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应急预案的修订由加油站应急办公室根据上述情况的变化和原因向加油站上级公司提出申请，说明修改原因，经授权后组织修订，并将修改的文件传递给相关部门。</w:t>
      </w:r>
    </w:p>
    <w:p>
      <w:pPr>
        <w:spacing w:line="5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预案修订应建立修改记录（包括修改日期、页码、内容、修改人）</w:t>
      </w:r>
    </w:p>
    <w:p>
      <w:pPr>
        <w:keepNext/>
        <w:keepLines/>
        <w:spacing w:before="240" w:after="240" w:line="500" w:lineRule="exact"/>
        <w:jc w:val="left"/>
        <w:outlineLvl w:val="2"/>
        <w:rPr>
          <w:rFonts w:ascii="Times New Roman" w:hAnsi="Times New Roman" w:cs="Times New Roman"/>
          <w:b/>
          <w:color w:val="000000" w:themeColor="text1"/>
          <w:sz w:val="24"/>
          <w:szCs w:val="24"/>
        </w:rPr>
      </w:pPr>
      <w:bookmarkStart w:id="1260" w:name="_Toc5741_WPSOffice_Level2"/>
      <w:bookmarkStart w:id="1261" w:name="_Toc32088"/>
      <w:bookmarkStart w:id="1262" w:name="_Toc4323_WPSOffice_Level2"/>
      <w:bookmarkStart w:id="1263" w:name="_Toc10940"/>
      <w:bookmarkStart w:id="1264" w:name="_Toc7943_WPSOffice_Level2"/>
      <w:bookmarkStart w:id="1265" w:name="_Toc5963"/>
      <w:bookmarkStart w:id="1266" w:name="_Toc3757"/>
      <w:bookmarkStart w:id="1267" w:name="_Toc6008_WPSOffice_Level2"/>
      <w:bookmarkStart w:id="1268" w:name="_Toc11186_WPSOffice_Level2"/>
      <w:r>
        <w:rPr>
          <w:rFonts w:ascii="Times New Roman" w:hAnsi="Times New Roman" w:cs="Times New Roman"/>
          <w:b/>
          <w:color w:val="000000" w:themeColor="text1"/>
          <w:sz w:val="24"/>
          <w:szCs w:val="24"/>
        </w:rPr>
        <w:t>11.5 预案签署和解释</w:t>
      </w:r>
      <w:bookmarkEnd w:id="1260"/>
      <w:bookmarkEnd w:id="1261"/>
      <w:bookmarkEnd w:id="1262"/>
      <w:bookmarkEnd w:id="1263"/>
      <w:bookmarkEnd w:id="1264"/>
      <w:bookmarkEnd w:id="1265"/>
      <w:bookmarkEnd w:id="1266"/>
      <w:bookmarkEnd w:id="1267"/>
      <w:bookmarkEnd w:id="1268"/>
    </w:p>
    <w:p>
      <w:pPr>
        <w:spacing w:line="500" w:lineRule="exact"/>
        <w:ind w:firstLine="480" w:firstLineChars="200"/>
        <w:rPr>
          <w:rFonts w:ascii="Times New Roman" w:hAnsi="Times New Roman" w:cs="Times New Roman"/>
          <w:color w:val="000000" w:themeColor="text1"/>
          <w:sz w:val="24"/>
          <w:szCs w:val="24"/>
          <w:lang w:val="zh-CN"/>
        </w:rPr>
      </w:pPr>
      <w:r>
        <w:rPr>
          <w:rFonts w:ascii="Times New Roman" w:hAnsi="Times New Roman" w:cs="Times New Roman"/>
          <w:color w:val="000000" w:themeColor="text1"/>
          <w:sz w:val="24"/>
          <w:szCs w:val="24"/>
          <w:lang w:val="zh-CN"/>
        </w:rPr>
        <w:t>中国</w:t>
      </w:r>
      <w:r>
        <w:rPr>
          <w:rFonts w:hint="eastAsia" w:ascii="Times New Roman" w:hAnsi="Times New Roman" w:cs="Times New Roman"/>
          <w:color w:val="000000" w:themeColor="text1"/>
          <w:sz w:val="24"/>
          <w:szCs w:val="24"/>
          <w:lang w:val="en-US" w:eastAsia="zh-CN"/>
        </w:rPr>
        <w:t>石油天然气</w:t>
      </w:r>
      <w:r>
        <w:rPr>
          <w:rFonts w:ascii="Times New Roman" w:hAnsi="Times New Roman" w:cs="Times New Roman"/>
          <w:color w:val="000000" w:themeColor="text1"/>
          <w:sz w:val="24"/>
          <w:szCs w:val="24"/>
          <w:lang w:val="zh-CN"/>
        </w:rPr>
        <w:t>股份有限公司江西南昌</w:t>
      </w:r>
      <w:r>
        <w:rPr>
          <w:rFonts w:hint="eastAsia" w:ascii="Times New Roman" w:hAnsi="Times New Roman" w:cs="Times New Roman"/>
          <w:color w:val="000000" w:themeColor="text1"/>
          <w:sz w:val="24"/>
          <w:szCs w:val="24"/>
          <w:lang w:val="en-US" w:eastAsia="zh-CN"/>
        </w:rPr>
        <w:t>双港大道</w:t>
      </w:r>
      <w:r>
        <w:rPr>
          <w:rFonts w:ascii="Times New Roman" w:hAnsi="Times New Roman" w:cs="Times New Roman"/>
          <w:color w:val="000000" w:themeColor="text1"/>
          <w:sz w:val="24"/>
          <w:szCs w:val="24"/>
          <w:lang w:val="zh-CN"/>
        </w:rPr>
        <w:t>加油</w:t>
      </w:r>
      <w:r>
        <w:rPr>
          <w:rFonts w:hint="eastAsia" w:ascii="Times New Roman" w:hAnsi="Times New Roman" w:cs="Times New Roman"/>
          <w:color w:val="000000" w:themeColor="text1"/>
          <w:sz w:val="24"/>
          <w:szCs w:val="24"/>
          <w:lang w:val="en-US" w:eastAsia="zh-CN"/>
        </w:rPr>
        <w:t>站</w:t>
      </w:r>
      <w:r>
        <w:rPr>
          <w:rFonts w:ascii="Times New Roman" w:hAnsi="Times New Roman" w:cs="Times New Roman"/>
          <w:color w:val="000000" w:themeColor="text1"/>
          <w:sz w:val="24"/>
          <w:szCs w:val="24"/>
          <w:lang w:val="zh-CN"/>
        </w:rPr>
        <w:t>编制并实施的《突发环境事件应急预案》是依据环保要求及相关法律法规编制，由中国</w:t>
      </w:r>
      <w:r>
        <w:rPr>
          <w:rFonts w:hint="eastAsia" w:ascii="Times New Roman" w:hAnsi="Times New Roman" w:cs="Times New Roman"/>
          <w:color w:val="000000" w:themeColor="text1"/>
          <w:sz w:val="24"/>
          <w:szCs w:val="24"/>
          <w:lang w:val="en-US" w:eastAsia="zh-CN"/>
        </w:rPr>
        <w:t>石油天然气</w:t>
      </w:r>
      <w:r>
        <w:rPr>
          <w:rFonts w:ascii="Times New Roman" w:hAnsi="Times New Roman" w:cs="Times New Roman"/>
          <w:color w:val="000000" w:themeColor="text1"/>
          <w:sz w:val="24"/>
          <w:szCs w:val="24"/>
          <w:lang w:val="zh-CN"/>
        </w:rPr>
        <w:t>股份有限公司江西南昌</w:t>
      </w:r>
      <w:r>
        <w:rPr>
          <w:rFonts w:hint="eastAsia" w:ascii="Times New Roman" w:hAnsi="Times New Roman" w:cs="Times New Roman"/>
          <w:color w:val="000000" w:themeColor="text1"/>
          <w:sz w:val="24"/>
          <w:szCs w:val="24"/>
          <w:lang w:val="en-US" w:eastAsia="zh-CN"/>
        </w:rPr>
        <w:t>双港大道</w:t>
      </w:r>
      <w:r>
        <w:rPr>
          <w:rFonts w:ascii="Times New Roman" w:hAnsi="Times New Roman" w:cs="Times New Roman"/>
          <w:color w:val="000000" w:themeColor="text1"/>
          <w:sz w:val="24"/>
          <w:szCs w:val="24"/>
          <w:lang w:val="zh-CN"/>
        </w:rPr>
        <w:t>加油</w:t>
      </w:r>
      <w:r>
        <w:rPr>
          <w:rFonts w:hint="eastAsia" w:ascii="Times New Roman" w:hAnsi="Times New Roman" w:cs="Times New Roman"/>
          <w:color w:val="000000" w:themeColor="text1"/>
          <w:sz w:val="24"/>
          <w:szCs w:val="24"/>
          <w:lang w:val="en-US" w:eastAsia="zh-CN"/>
        </w:rPr>
        <w:t>站</w:t>
      </w:r>
      <w:r>
        <w:rPr>
          <w:rFonts w:ascii="Times New Roman" w:hAnsi="Times New Roman" w:cs="Times New Roman"/>
          <w:color w:val="000000" w:themeColor="text1"/>
          <w:sz w:val="24"/>
          <w:szCs w:val="24"/>
          <w:lang w:val="zh-CN"/>
        </w:rPr>
        <w:t>总经理签署，实施部门为中国</w:t>
      </w:r>
      <w:r>
        <w:rPr>
          <w:rFonts w:hint="eastAsia" w:ascii="Times New Roman" w:hAnsi="Times New Roman" w:cs="Times New Roman"/>
          <w:color w:val="000000" w:themeColor="text1"/>
          <w:sz w:val="24"/>
          <w:szCs w:val="24"/>
          <w:lang w:val="en-US" w:eastAsia="zh-CN"/>
        </w:rPr>
        <w:t>石油天然气</w:t>
      </w:r>
      <w:r>
        <w:rPr>
          <w:rFonts w:ascii="Times New Roman" w:hAnsi="Times New Roman" w:cs="Times New Roman"/>
          <w:color w:val="000000" w:themeColor="text1"/>
          <w:sz w:val="24"/>
          <w:szCs w:val="24"/>
          <w:lang w:val="zh-CN"/>
        </w:rPr>
        <w:t>股份有限公司江西南昌</w:t>
      </w:r>
      <w:r>
        <w:rPr>
          <w:rFonts w:hint="eastAsia" w:ascii="Times New Roman" w:hAnsi="Times New Roman" w:cs="Times New Roman"/>
          <w:color w:val="000000" w:themeColor="text1"/>
          <w:sz w:val="24"/>
          <w:szCs w:val="24"/>
          <w:lang w:val="en-US" w:eastAsia="zh-CN"/>
        </w:rPr>
        <w:t>双港大道</w:t>
      </w:r>
      <w:r>
        <w:rPr>
          <w:rFonts w:ascii="Times New Roman" w:hAnsi="Times New Roman" w:cs="Times New Roman"/>
          <w:color w:val="000000" w:themeColor="text1"/>
          <w:sz w:val="24"/>
          <w:szCs w:val="24"/>
          <w:lang w:val="zh-CN"/>
        </w:rPr>
        <w:t>加油</w:t>
      </w:r>
      <w:r>
        <w:rPr>
          <w:rFonts w:hint="eastAsia" w:ascii="Times New Roman" w:hAnsi="Times New Roman" w:cs="Times New Roman"/>
          <w:color w:val="000000" w:themeColor="text1"/>
          <w:sz w:val="24"/>
          <w:szCs w:val="24"/>
          <w:lang w:val="en-US" w:eastAsia="zh-CN"/>
        </w:rPr>
        <w:t>站</w:t>
      </w:r>
      <w:r>
        <w:rPr>
          <w:rFonts w:ascii="Times New Roman" w:hAnsi="Times New Roman" w:cs="Times New Roman"/>
          <w:color w:val="000000" w:themeColor="text1"/>
          <w:sz w:val="24"/>
          <w:szCs w:val="24"/>
          <w:lang w:val="zh-CN"/>
        </w:rPr>
        <w:t>突发环境事件应急领导小组，最总解释权归属中国</w:t>
      </w:r>
      <w:r>
        <w:rPr>
          <w:rFonts w:hint="eastAsia" w:ascii="Times New Roman" w:hAnsi="Times New Roman" w:cs="Times New Roman"/>
          <w:color w:val="000000" w:themeColor="text1"/>
          <w:sz w:val="24"/>
          <w:szCs w:val="24"/>
          <w:lang w:val="en-US" w:eastAsia="zh-CN"/>
        </w:rPr>
        <w:t>石油天然气</w:t>
      </w:r>
      <w:r>
        <w:rPr>
          <w:rFonts w:ascii="Times New Roman" w:hAnsi="Times New Roman" w:cs="Times New Roman"/>
          <w:color w:val="000000" w:themeColor="text1"/>
          <w:sz w:val="24"/>
          <w:szCs w:val="24"/>
          <w:lang w:val="zh-CN"/>
        </w:rPr>
        <w:t>股份有限公司江西南昌</w:t>
      </w:r>
      <w:r>
        <w:rPr>
          <w:rFonts w:hint="eastAsia" w:ascii="Times New Roman" w:hAnsi="Times New Roman" w:cs="Times New Roman"/>
          <w:color w:val="000000" w:themeColor="text1"/>
          <w:sz w:val="24"/>
          <w:szCs w:val="24"/>
          <w:lang w:val="en-US" w:eastAsia="zh-CN"/>
        </w:rPr>
        <w:t>双港大道</w:t>
      </w:r>
      <w:r>
        <w:rPr>
          <w:rFonts w:ascii="Times New Roman" w:hAnsi="Times New Roman" w:cs="Times New Roman"/>
          <w:color w:val="000000" w:themeColor="text1"/>
          <w:sz w:val="24"/>
          <w:szCs w:val="24"/>
          <w:lang w:val="zh-CN"/>
        </w:rPr>
        <w:t>加油</w:t>
      </w:r>
      <w:r>
        <w:rPr>
          <w:rFonts w:hint="eastAsia" w:ascii="Times New Roman" w:hAnsi="Times New Roman" w:cs="Times New Roman"/>
          <w:color w:val="000000" w:themeColor="text1"/>
          <w:sz w:val="24"/>
          <w:szCs w:val="24"/>
          <w:lang w:val="en-US" w:eastAsia="zh-CN"/>
        </w:rPr>
        <w:t>站</w:t>
      </w:r>
      <w:r>
        <w:rPr>
          <w:rFonts w:ascii="Times New Roman" w:hAnsi="Times New Roman" w:cs="Times New Roman"/>
          <w:color w:val="000000" w:themeColor="text1"/>
          <w:sz w:val="24"/>
          <w:szCs w:val="24"/>
          <w:lang w:val="zh-CN"/>
        </w:rPr>
        <w:t>突发环境事件应急领导小组。</w:t>
      </w:r>
    </w:p>
    <w:bookmarkEnd w:id="1216"/>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1269" w:name="_Toc19114"/>
      <w:bookmarkStart w:id="1270" w:name="_Toc14049"/>
      <w:bookmarkStart w:id="1271" w:name="_Toc21934_WPSOffice_Level2"/>
      <w:bookmarkStart w:id="1272" w:name="_Toc17082"/>
      <w:bookmarkStart w:id="1273" w:name="_Toc10158_WPSOffice_Level2"/>
      <w:bookmarkStart w:id="1274" w:name="_Toc23728_WPSOffice_Level2"/>
      <w:bookmarkStart w:id="1275" w:name="_Toc4248"/>
      <w:bookmarkStart w:id="1276" w:name="_Toc17197"/>
      <w:bookmarkStart w:id="1277" w:name="_Toc29965_WPSOffice_Level2"/>
      <w:bookmarkStart w:id="1278" w:name="_Toc302723385"/>
      <w:bookmarkStart w:id="1279" w:name="_Toc16140_WPSOffice_Level2"/>
      <w:r>
        <w:rPr>
          <w:rFonts w:ascii="Times New Roman" w:hAnsi="Times New Roman" w:cs="Times New Roman"/>
          <w:b/>
          <w:bCs/>
          <w:color w:val="000000" w:themeColor="text1"/>
          <w:sz w:val="24"/>
          <w:szCs w:val="24"/>
        </w:rPr>
        <w:t>11.6预案的实施</w:t>
      </w:r>
      <w:bookmarkEnd w:id="1269"/>
      <w:bookmarkEnd w:id="1270"/>
      <w:bookmarkEnd w:id="1271"/>
      <w:bookmarkEnd w:id="1272"/>
      <w:bookmarkEnd w:id="1273"/>
      <w:bookmarkEnd w:id="1274"/>
      <w:bookmarkEnd w:id="1275"/>
      <w:bookmarkEnd w:id="1276"/>
      <w:bookmarkEnd w:id="1277"/>
      <w:bookmarkEnd w:id="1278"/>
      <w:bookmarkEnd w:id="1279"/>
    </w:p>
    <w:p>
      <w:pPr>
        <w:spacing w:line="500" w:lineRule="exact"/>
        <w:ind w:firstLine="480" w:firstLineChars="200"/>
        <w:rPr>
          <w:rFonts w:ascii="Times New Roman" w:hAnsi="Times New Roman" w:cs="Times New Roman"/>
          <w:color w:val="000000" w:themeColor="text1"/>
          <w:sz w:val="24"/>
          <w:szCs w:val="24"/>
          <w:lang w:val="zh-CN"/>
        </w:rPr>
      </w:pPr>
      <w:bookmarkStart w:id="1280" w:name="_Toc13712"/>
      <w:r>
        <w:rPr>
          <w:rFonts w:ascii="Times New Roman" w:hAnsi="Times New Roman" w:cs="Times New Roman"/>
          <w:color w:val="000000" w:themeColor="text1"/>
          <w:sz w:val="24"/>
          <w:szCs w:val="24"/>
          <w:lang w:val="zh-CN"/>
        </w:rPr>
        <w:t>中国</w:t>
      </w:r>
      <w:r>
        <w:rPr>
          <w:rFonts w:hint="eastAsia" w:ascii="Times New Roman" w:hAnsi="Times New Roman" w:cs="Times New Roman"/>
          <w:color w:val="000000" w:themeColor="text1"/>
          <w:sz w:val="24"/>
          <w:szCs w:val="24"/>
          <w:lang w:val="en-US" w:eastAsia="zh-CN"/>
        </w:rPr>
        <w:t>石油天然气</w:t>
      </w:r>
      <w:r>
        <w:rPr>
          <w:rFonts w:ascii="Times New Roman" w:hAnsi="Times New Roman" w:cs="Times New Roman"/>
          <w:color w:val="000000" w:themeColor="text1"/>
          <w:sz w:val="24"/>
          <w:szCs w:val="24"/>
          <w:lang w:val="zh-CN"/>
        </w:rPr>
        <w:t>股份有限公司江西南昌</w:t>
      </w:r>
      <w:r>
        <w:rPr>
          <w:rFonts w:hint="eastAsia" w:ascii="Times New Roman" w:hAnsi="Times New Roman" w:cs="Times New Roman"/>
          <w:color w:val="000000" w:themeColor="text1"/>
          <w:sz w:val="24"/>
          <w:szCs w:val="24"/>
          <w:lang w:val="en-US" w:eastAsia="zh-CN"/>
        </w:rPr>
        <w:t>双港大道</w:t>
      </w:r>
      <w:r>
        <w:rPr>
          <w:rFonts w:ascii="Times New Roman" w:hAnsi="Times New Roman" w:cs="Times New Roman"/>
          <w:color w:val="000000" w:themeColor="text1"/>
          <w:sz w:val="24"/>
          <w:szCs w:val="24"/>
          <w:lang w:val="zh-CN"/>
        </w:rPr>
        <w:t>加油</w:t>
      </w:r>
      <w:r>
        <w:rPr>
          <w:rFonts w:hint="eastAsia" w:ascii="Times New Roman" w:hAnsi="Times New Roman" w:cs="Times New Roman"/>
          <w:color w:val="000000" w:themeColor="text1"/>
          <w:sz w:val="24"/>
          <w:szCs w:val="24"/>
          <w:lang w:val="en-US" w:eastAsia="zh-CN"/>
        </w:rPr>
        <w:t>站</w:t>
      </w:r>
      <w:r>
        <w:rPr>
          <w:rFonts w:ascii="Times New Roman" w:hAnsi="Times New Roman" w:cs="Times New Roman"/>
          <w:color w:val="000000" w:themeColor="text1"/>
          <w:sz w:val="24"/>
          <w:szCs w:val="24"/>
          <w:lang w:val="zh-CN"/>
        </w:rPr>
        <w:t>编制并实施的《中国</w:t>
      </w:r>
      <w:r>
        <w:rPr>
          <w:rFonts w:hint="eastAsia" w:ascii="Times New Roman" w:hAnsi="Times New Roman" w:cs="Times New Roman"/>
          <w:color w:val="000000" w:themeColor="text1"/>
          <w:sz w:val="24"/>
          <w:szCs w:val="24"/>
          <w:lang w:val="en-US" w:eastAsia="zh-CN"/>
        </w:rPr>
        <w:t>石油天然气</w:t>
      </w:r>
      <w:r>
        <w:rPr>
          <w:rFonts w:ascii="Times New Roman" w:hAnsi="Times New Roman" w:cs="Times New Roman"/>
          <w:color w:val="000000" w:themeColor="text1"/>
          <w:sz w:val="24"/>
          <w:szCs w:val="24"/>
          <w:lang w:val="zh-CN"/>
        </w:rPr>
        <w:t>股份有限公司江西南昌</w:t>
      </w:r>
      <w:r>
        <w:rPr>
          <w:rFonts w:hint="eastAsia" w:ascii="Times New Roman" w:hAnsi="Times New Roman" w:cs="Times New Roman"/>
          <w:color w:val="000000" w:themeColor="text1"/>
          <w:sz w:val="24"/>
          <w:szCs w:val="24"/>
          <w:lang w:val="en-US" w:eastAsia="zh-CN"/>
        </w:rPr>
        <w:t>双港大道</w:t>
      </w:r>
      <w:r>
        <w:rPr>
          <w:rFonts w:ascii="Times New Roman" w:hAnsi="Times New Roman" w:cs="Times New Roman"/>
          <w:color w:val="000000" w:themeColor="text1"/>
          <w:sz w:val="24"/>
          <w:szCs w:val="24"/>
          <w:lang w:val="zh-CN"/>
        </w:rPr>
        <w:t>加油</w:t>
      </w:r>
      <w:r>
        <w:rPr>
          <w:rFonts w:hint="eastAsia" w:ascii="Times New Roman" w:hAnsi="Times New Roman" w:cs="Times New Roman"/>
          <w:color w:val="000000" w:themeColor="text1"/>
          <w:sz w:val="24"/>
          <w:szCs w:val="24"/>
          <w:lang w:val="en-US" w:eastAsia="zh-CN"/>
        </w:rPr>
        <w:t>站</w:t>
      </w:r>
      <w:r>
        <w:rPr>
          <w:rFonts w:ascii="Times New Roman" w:hAnsi="Times New Roman" w:cs="Times New Roman"/>
          <w:color w:val="000000" w:themeColor="text1"/>
          <w:sz w:val="24"/>
          <w:szCs w:val="24"/>
          <w:lang w:val="zh-CN"/>
        </w:rPr>
        <w:t>突发环境事件应急预案》具体实施部门为中国</w:t>
      </w:r>
      <w:r>
        <w:rPr>
          <w:rFonts w:hint="eastAsia" w:ascii="Times New Roman" w:hAnsi="Times New Roman" w:cs="Times New Roman"/>
          <w:color w:val="000000" w:themeColor="text1"/>
          <w:sz w:val="24"/>
          <w:szCs w:val="24"/>
          <w:lang w:val="en-US" w:eastAsia="zh-CN"/>
        </w:rPr>
        <w:t>石油天然气</w:t>
      </w:r>
      <w:r>
        <w:rPr>
          <w:rFonts w:ascii="Times New Roman" w:hAnsi="Times New Roman" w:cs="Times New Roman"/>
          <w:color w:val="000000" w:themeColor="text1"/>
          <w:sz w:val="24"/>
          <w:szCs w:val="24"/>
          <w:lang w:val="zh-CN"/>
        </w:rPr>
        <w:t>股份有限公司江西南昌</w:t>
      </w:r>
      <w:r>
        <w:rPr>
          <w:rFonts w:hint="eastAsia" w:ascii="Times New Roman" w:hAnsi="Times New Roman" w:cs="Times New Roman"/>
          <w:color w:val="000000" w:themeColor="text1"/>
          <w:sz w:val="24"/>
          <w:szCs w:val="24"/>
          <w:lang w:val="en-US" w:eastAsia="zh-CN"/>
        </w:rPr>
        <w:t>双港大道</w:t>
      </w:r>
      <w:r>
        <w:rPr>
          <w:rFonts w:ascii="Times New Roman" w:hAnsi="Times New Roman" w:cs="Times New Roman"/>
          <w:color w:val="000000" w:themeColor="text1"/>
          <w:sz w:val="24"/>
          <w:szCs w:val="24"/>
          <w:lang w:val="zh-CN"/>
        </w:rPr>
        <w:t>加油</w:t>
      </w:r>
      <w:r>
        <w:rPr>
          <w:rFonts w:hint="eastAsia" w:ascii="Times New Roman" w:hAnsi="Times New Roman" w:cs="Times New Roman"/>
          <w:color w:val="000000" w:themeColor="text1"/>
          <w:sz w:val="24"/>
          <w:szCs w:val="24"/>
          <w:lang w:val="en-US" w:eastAsia="zh-CN"/>
        </w:rPr>
        <w:t>站</w:t>
      </w:r>
      <w:r>
        <w:rPr>
          <w:rFonts w:ascii="Times New Roman" w:hAnsi="Times New Roman" w:cs="Times New Roman"/>
          <w:color w:val="000000" w:themeColor="text1"/>
          <w:sz w:val="24"/>
          <w:szCs w:val="24"/>
          <w:lang w:val="zh-CN"/>
        </w:rPr>
        <w:t>突发环境事件应急领导小组。由公司总经理签署发布之日实施。</w:t>
      </w:r>
      <w:bookmarkEnd w:id="1280"/>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预案签署人：</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实施时间：2019年</w:t>
      </w:r>
      <w:r>
        <w:rPr>
          <w:rFonts w:hint="eastAsia" w:ascii="Times New Roman" w:hAnsi="Times New Roman" w:cs="Times New Roman"/>
          <w:color w:val="000000" w:themeColor="text1"/>
          <w:kern w:val="0"/>
          <w:sz w:val="24"/>
          <w:szCs w:val="24"/>
          <w:lang w:val="en-US" w:eastAsia="zh-CN"/>
        </w:rPr>
        <w:t>11</w:t>
      </w:r>
      <w:r>
        <w:rPr>
          <w:rFonts w:ascii="Times New Roman" w:hAnsi="Times New Roman" w:cs="Times New Roman"/>
          <w:color w:val="000000" w:themeColor="text1"/>
          <w:kern w:val="0"/>
          <w:sz w:val="24"/>
          <w:szCs w:val="24"/>
        </w:rPr>
        <w:t>月5日</w:t>
      </w:r>
    </w:p>
    <w:p>
      <w:pPr>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实施部门：突发环境事件应急领导小组</w:t>
      </w:r>
    </w:p>
    <w:p>
      <w:pP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br w:type="page"/>
      </w:r>
    </w:p>
    <w:p>
      <w:pPr>
        <w:keepNext/>
        <w:keepLines/>
        <w:spacing w:beforeLines="100" w:afterLines="100" w:line="500" w:lineRule="exact"/>
        <w:jc w:val="center"/>
        <w:outlineLvl w:val="0"/>
        <w:rPr>
          <w:rFonts w:ascii="Times New Roman" w:hAnsi="Times New Roman" w:cs="Times New Roman"/>
          <w:b/>
          <w:bCs/>
          <w:color w:val="000000" w:themeColor="text1"/>
          <w:kern w:val="44"/>
          <w:sz w:val="30"/>
          <w:szCs w:val="30"/>
        </w:rPr>
      </w:pPr>
      <w:bookmarkStart w:id="1281" w:name="_Toc12126_WPSOffice_Level1"/>
      <w:bookmarkStart w:id="1282" w:name="_Toc17738_WPSOffice_Level1"/>
      <w:bookmarkStart w:id="1283" w:name="_Toc11112"/>
      <w:bookmarkStart w:id="1284" w:name="_Toc5329_WPSOffice_Level1"/>
      <w:bookmarkStart w:id="1285" w:name="_Toc32683_WPSOffice_Level1"/>
      <w:bookmarkStart w:id="1286" w:name="_Toc11189"/>
      <w:bookmarkStart w:id="1287" w:name="_Toc9309_WPSOffice_Level1"/>
      <w:bookmarkStart w:id="1288" w:name="_Toc14967"/>
      <w:bookmarkStart w:id="1289" w:name="_Toc4627"/>
      <w:r>
        <w:rPr>
          <w:rFonts w:ascii="Times New Roman" w:hAnsi="Times New Roman" w:cs="Times New Roman"/>
          <w:b/>
          <w:bCs/>
          <w:color w:val="000000" w:themeColor="text1"/>
          <w:kern w:val="44"/>
          <w:sz w:val="30"/>
          <w:szCs w:val="30"/>
        </w:rPr>
        <w:t>12、附 则-名词术语、定义</w:t>
      </w:r>
      <w:bookmarkEnd w:id="1281"/>
      <w:bookmarkEnd w:id="1282"/>
      <w:bookmarkEnd w:id="1283"/>
      <w:bookmarkEnd w:id="1284"/>
      <w:bookmarkEnd w:id="1285"/>
      <w:bookmarkEnd w:id="1286"/>
      <w:bookmarkEnd w:id="1287"/>
      <w:bookmarkEnd w:id="1288"/>
      <w:bookmarkEnd w:id="1289"/>
    </w:p>
    <w:p>
      <w:pPr>
        <w:widowControl/>
        <w:spacing w:line="500" w:lineRule="exact"/>
        <w:ind w:firstLine="482" w:firstLineChars="200"/>
        <w:jc w:val="left"/>
        <w:rPr>
          <w:rFonts w:ascii="Times New Roman" w:hAnsi="Times New Roman" w:cs="Times New Roman"/>
          <w:color w:val="000000" w:themeColor="text1"/>
          <w:kern w:val="0"/>
          <w:sz w:val="24"/>
          <w:szCs w:val="24"/>
        </w:rPr>
      </w:pPr>
      <w:r>
        <w:rPr>
          <w:rFonts w:ascii="Times New Roman" w:hAnsi="Times New Roman" w:cs="Times New Roman"/>
          <w:b/>
          <w:color w:val="000000" w:themeColor="text1"/>
          <w:kern w:val="0"/>
          <w:sz w:val="24"/>
          <w:szCs w:val="24"/>
        </w:rPr>
        <w:t>环境事件：</w:t>
      </w:r>
      <w:r>
        <w:rPr>
          <w:rFonts w:ascii="Times New Roman" w:hAnsi="Times New Roman" w:cs="Times New Roman"/>
          <w:color w:val="000000" w:themeColor="text1"/>
          <w:kern w:val="0"/>
          <w:sz w:val="24"/>
          <w:szCs w:val="24"/>
        </w:rPr>
        <w:t>是指由于违反环境保护法律法规的经济、社会活动与行为，以及意外因素的影响或不可抗拒的自然灾害等原因致使环境受到污染，人体健康受到危害，社会经济与人民群众财产受到损失，造成不良社会影响的突发性事件。</w:t>
      </w:r>
    </w:p>
    <w:p>
      <w:pPr>
        <w:widowControl/>
        <w:spacing w:line="500" w:lineRule="exact"/>
        <w:ind w:firstLine="482" w:firstLineChars="200"/>
        <w:jc w:val="left"/>
        <w:rPr>
          <w:rFonts w:ascii="Times New Roman" w:hAnsi="Times New Roman" w:cs="Times New Roman"/>
          <w:color w:val="000000" w:themeColor="text1"/>
          <w:kern w:val="0"/>
          <w:sz w:val="24"/>
          <w:szCs w:val="24"/>
        </w:rPr>
      </w:pPr>
      <w:r>
        <w:rPr>
          <w:rFonts w:ascii="Times New Roman" w:hAnsi="Times New Roman" w:cs="Times New Roman"/>
          <w:b/>
          <w:color w:val="000000" w:themeColor="text1"/>
          <w:kern w:val="0"/>
          <w:sz w:val="24"/>
          <w:szCs w:val="24"/>
        </w:rPr>
        <w:t>突发环境事件：</w:t>
      </w:r>
      <w:r>
        <w:rPr>
          <w:rFonts w:ascii="Times New Roman" w:hAnsi="Times New Roman" w:cs="Times New Roman"/>
          <w:color w:val="000000" w:themeColor="text1"/>
          <w:kern w:val="0"/>
          <w:sz w:val="24"/>
          <w:szCs w:val="24"/>
        </w:rPr>
        <w:t>是指由于污染物排放或自然灾害、</w:t>
      </w:r>
      <w:r>
        <w:fldChar w:fldCharType="begin"/>
      </w:r>
      <w:r>
        <w:instrText xml:space="preserve"> HYPERLINK "http://baike.sogou.com/lemma/ShowInnerLink.htm?lemmaId=72563125&amp;ss_c=ssc.citiao.link" \t "http://baike.sogou.com/_blank" </w:instrText>
      </w:r>
      <w:r>
        <w:fldChar w:fldCharType="separate"/>
      </w:r>
      <w:r>
        <w:rPr>
          <w:rFonts w:ascii="Times New Roman" w:hAnsi="Times New Roman" w:cs="Times New Roman"/>
          <w:color w:val="000000" w:themeColor="text1"/>
          <w:kern w:val="0"/>
          <w:sz w:val="24"/>
          <w:szCs w:val="24"/>
        </w:rPr>
        <w:t>生产安全事故</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等因素，导致污染物或</w:t>
      </w:r>
      <w:r>
        <w:fldChar w:fldCharType="begin"/>
      </w:r>
      <w:r>
        <w:instrText xml:space="preserve"> HYPERLINK "http://baike.sogou.com/lemma/ShowInnerLink.htm?lemmaId=19915&amp;ss_c=ssc.citiao.link" \t "http://baike.sogou.com/_blank" </w:instrText>
      </w:r>
      <w:r>
        <w:fldChar w:fldCharType="separate"/>
      </w:r>
      <w:r>
        <w:rPr>
          <w:rFonts w:ascii="Times New Roman" w:hAnsi="Times New Roman" w:cs="Times New Roman"/>
          <w:color w:val="000000" w:themeColor="text1"/>
          <w:kern w:val="0"/>
          <w:sz w:val="24"/>
          <w:szCs w:val="24"/>
        </w:rPr>
        <w:t>放射性物质</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等有毒有害物质进入大气、水体、土壤等环境介质，突然造成或可能造成</w:t>
      </w:r>
      <w:r>
        <w:fldChar w:fldCharType="begin"/>
      </w:r>
      <w:r>
        <w:instrText xml:space="preserve"> HYPERLINK "http://baike.sogou.com/lemma/ShowInnerLink.htm?lemmaId=6555677&amp;ss_c=ssc.citiao.link" \t "http://baike.sogou.com/_blank" </w:instrText>
      </w:r>
      <w:r>
        <w:fldChar w:fldCharType="separate"/>
      </w:r>
      <w:r>
        <w:rPr>
          <w:rFonts w:ascii="Times New Roman" w:hAnsi="Times New Roman" w:cs="Times New Roman"/>
          <w:color w:val="000000" w:themeColor="text1"/>
          <w:kern w:val="0"/>
          <w:sz w:val="24"/>
          <w:szCs w:val="24"/>
        </w:rPr>
        <w:t>环境质量</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下降，危及公众身体健康和财产安全，或造成生态环境破坏，或造成重大社会影响，需要采取紧急措施予以应对的事件，主要包括</w:t>
      </w:r>
      <w:r>
        <w:fldChar w:fldCharType="begin"/>
      </w:r>
      <w:r>
        <w:instrText xml:space="preserve"> HYPERLINK "http://baike.sogou.com/lemma/ShowInnerLink.htm?lemmaId=37146&amp;ss_c=ssc.citiao.link" \t "http://baike.sogou.com/_blank" </w:instrText>
      </w:r>
      <w:r>
        <w:fldChar w:fldCharType="separate"/>
      </w:r>
      <w:r>
        <w:rPr>
          <w:rFonts w:ascii="Times New Roman" w:hAnsi="Times New Roman" w:cs="Times New Roman"/>
          <w:color w:val="000000" w:themeColor="text1"/>
          <w:kern w:val="0"/>
          <w:sz w:val="24"/>
          <w:szCs w:val="24"/>
        </w:rPr>
        <w:t>大气污染</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w:t>
      </w:r>
      <w:r>
        <w:fldChar w:fldCharType="begin"/>
      </w:r>
      <w:r>
        <w:instrText xml:space="preserve"> HYPERLINK "http://baike.sogou.com/lemma/ShowInnerLink.htm?lemmaId=310679&amp;ss_c=ssc.citiao.link" \t "http://baike.sogou.com/_blank" </w:instrText>
      </w:r>
      <w:r>
        <w:fldChar w:fldCharType="separate"/>
      </w:r>
      <w:r>
        <w:rPr>
          <w:rFonts w:ascii="Times New Roman" w:hAnsi="Times New Roman" w:cs="Times New Roman"/>
          <w:color w:val="000000" w:themeColor="text1"/>
          <w:kern w:val="0"/>
          <w:sz w:val="24"/>
          <w:szCs w:val="24"/>
        </w:rPr>
        <w:t>水体污染</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w:t>
      </w:r>
      <w:r>
        <w:fldChar w:fldCharType="begin"/>
      </w:r>
      <w:r>
        <w:instrText xml:space="preserve"> HYPERLINK "http://baike.sogou.com/lemma/ShowInnerLink.htm?lemmaId=259400&amp;ss_c=ssc.citiao.link" \t "http://baike.sogou.com/_blank" </w:instrText>
      </w:r>
      <w:r>
        <w:fldChar w:fldCharType="separate"/>
      </w:r>
      <w:r>
        <w:rPr>
          <w:rFonts w:ascii="Times New Roman" w:hAnsi="Times New Roman" w:cs="Times New Roman"/>
          <w:color w:val="000000" w:themeColor="text1"/>
          <w:kern w:val="0"/>
          <w:sz w:val="24"/>
          <w:szCs w:val="24"/>
        </w:rPr>
        <w:t>土壤污染</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等突发性环境污染事件和辐射污染事件。</w:t>
      </w:r>
    </w:p>
    <w:p>
      <w:pPr>
        <w:widowControl/>
        <w:spacing w:line="500" w:lineRule="exact"/>
        <w:ind w:firstLine="482" w:firstLineChars="200"/>
        <w:jc w:val="left"/>
        <w:rPr>
          <w:rFonts w:ascii="Times New Roman" w:hAnsi="Times New Roman" w:cs="Times New Roman"/>
          <w:color w:val="000000" w:themeColor="text1"/>
          <w:kern w:val="0"/>
          <w:sz w:val="24"/>
          <w:szCs w:val="24"/>
        </w:rPr>
      </w:pPr>
      <w:r>
        <w:rPr>
          <w:rFonts w:ascii="Times New Roman" w:hAnsi="Times New Roman" w:cs="Times New Roman"/>
          <w:b/>
          <w:color w:val="000000" w:themeColor="text1"/>
          <w:kern w:val="0"/>
          <w:sz w:val="24"/>
          <w:szCs w:val="24"/>
        </w:rPr>
        <w:t>环境应急：</w:t>
      </w:r>
      <w:r>
        <w:rPr>
          <w:rFonts w:ascii="Times New Roman" w:hAnsi="Times New Roman" w:cs="Times New Roman"/>
          <w:color w:val="000000" w:themeColor="text1"/>
          <w:kern w:val="0"/>
          <w:sz w:val="24"/>
          <w:szCs w:val="24"/>
        </w:rPr>
        <w:t>针对可能或已发生的突发环境事件需要立即采取某些超出正常工作程序的行动，以避免事件发生或减轻事件后果的状态，也称为紧急状态；同时也泛指立即采取超出正常工作程序的行动。</w:t>
      </w:r>
    </w:p>
    <w:p>
      <w:pPr>
        <w:widowControl/>
        <w:spacing w:line="500" w:lineRule="exact"/>
        <w:ind w:firstLine="482" w:firstLineChars="200"/>
        <w:jc w:val="left"/>
        <w:rPr>
          <w:rFonts w:ascii="Times New Roman" w:hAnsi="Times New Roman" w:cs="Times New Roman"/>
          <w:color w:val="000000" w:themeColor="text1"/>
          <w:kern w:val="0"/>
          <w:sz w:val="24"/>
          <w:szCs w:val="24"/>
        </w:rPr>
      </w:pPr>
      <w:r>
        <w:rPr>
          <w:rFonts w:ascii="Times New Roman" w:hAnsi="Times New Roman" w:cs="Times New Roman"/>
          <w:b/>
          <w:color w:val="000000" w:themeColor="text1"/>
          <w:kern w:val="0"/>
          <w:sz w:val="24"/>
          <w:szCs w:val="24"/>
        </w:rPr>
        <w:t>预案分类：</w:t>
      </w:r>
      <w:r>
        <w:rPr>
          <w:rFonts w:ascii="Times New Roman" w:hAnsi="Times New Roman" w:cs="Times New Roman"/>
          <w:color w:val="000000" w:themeColor="text1"/>
          <w:kern w:val="0"/>
          <w:sz w:val="24"/>
          <w:szCs w:val="24"/>
        </w:rPr>
        <w:t>根据突发环境事件的发生过程、性质和机理，突发环境事件主要分为三类：突发环境污染事件、生物物种安全环境事件和辐射环境污染事件。突发环境污染事件包括重点流域、敏感水域水环境污染事件；重点城市光化学烟雾污染事件；危险化学品、废弃化学品污染事件；海上石油勘探开发溢油事件；突发船舶污染事件等。生物物种安全环境事件主要是指生物物种受到不当采集、猎杀、走私、非法携带出入境或合作交换、工程建设危害以及</w:t>
      </w:r>
      <w:r>
        <w:fldChar w:fldCharType="begin"/>
      </w:r>
      <w:r>
        <w:instrText xml:space="preserve"> HYPERLINK "http://baike.baidu.com/view/264755.htm" </w:instrText>
      </w:r>
      <w:r>
        <w:fldChar w:fldCharType="separate"/>
      </w:r>
      <w:r>
        <w:rPr>
          <w:rFonts w:ascii="Times New Roman" w:hAnsi="Times New Roman" w:cs="Times New Roman"/>
          <w:color w:val="000000" w:themeColor="text1"/>
          <w:kern w:val="0"/>
          <w:sz w:val="24"/>
          <w:szCs w:val="24"/>
        </w:rPr>
        <w:t>外来入侵物种</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对生物多样性造成损失和对生态环境造成威胁和危害事件；辐射环境污染事件包括</w:t>
      </w:r>
      <w:r>
        <w:fldChar w:fldCharType="begin"/>
      </w:r>
      <w:r>
        <w:instrText xml:space="preserve"> HYPERLINK "http://baike.baidu.com/view/357582.htm" </w:instrText>
      </w:r>
      <w:r>
        <w:fldChar w:fldCharType="separate"/>
      </w:r>
      <w:r>
        <w:rPr>
          <w:rFonts w:ascii="Times New Roman" w:hAnsi="Times New Roman" w:cs="Times New Roman"/>
          <w:color w:val="000000" w:themeColor="text1"/>
          <w:kern w:val="0"/>
          <w:sz w:val="24"/>
          <w:szCs w:val="24"/>
        </w:rPr>
        <w:t>放射性同位素</w:t>
      </w:r>
      <w:r>
        <w:rPr>
          <w:rFonts w:ascii="Times New Roman" w:hAnsi="Times New Roman" w:cs="Times New Roman"/>
          <w:color w:val="000000" w:themeColor="text1"/>
          <w:kern w:val="0"/>
          <w:sz w:val="24"/>
          <w:szCs w:val="24"/>
        </w:rPr>
        <w:fldChar w:fldCharType="end"/>
      </w:r>
      <w:r>
        <w:rPr>
          <w:rFonts w:ascii="Times New Roman" w:hAnsi="Times New Roman" w:cs="Times New Roman"/>
          <w:color w:val="000000" w:themeColor="text1"/>
          <w:kern w:val="0"/>
          <w:sz w:val="24"/>
          <w:szCs w:val="24"/>
        </w:rPr>
        <w:t>、放射源、辐射装置、放射性废物辐射污染事件。</w:t>
      </w:r>
    </w:p>
    <w:p>
      <w:pPr>
        <w:widowControl/>
        <w:spacing w:line="500" w:lineRule="exact"/>
        <w:ind w:firstLine="482" w:firstLineChars="200"/>
        <w:jc w:val="left"/>
        <w:rPr>
          <w:rFonts w:ascii="Times New Roman" w:hAnsi="Times New Roman" w:cs="Times New Roman"/>
          <w:color w:val="000000" w:themeColor="text1"/>
          <w:kern w:val="0"/>
          <w:sz w:val="24"/>
          <w:szCs w:val="24"/>
        </w:rPr>
      </w:pPr>
      <w:r>
        <w:rPr>
          <w:rFonts w:ascii="Times New Roman" w:hAnsi="Times New Roman" w:cs="Times New Roman"/>
          <w:b/>
          <w:color w:val="000000" w:themeColor="text1"/>
          <w:kern w:val="0"/>
          <w:sz w:val="24"/>
          <w:szCs w:val="24"/>
        </w:rPr>
        <w:t>泄漏处理：</w:t>
      </w:r>
      <w:r>
        <w:rPr>
          <w:rFonts w:ascii="Times New Roman" w:hAnsi="Times New Roman" w:cs="Times New Roman"/>
          <w:color w:val="000000" w:themeColor="text1"/>
          <w:kern w:val="0"/>
          <w:sz w:val="24"/>
          <w:szCs w:val="24"/>
        </w:rPr>
        <w:t>泄漏处理是指对危险化学品、危险废物、放射性物质、有毒气体等污染源因事件发生泄漏时的所采取的应急处置措施。泄漏处理要及时、得当，避免重大事件的发生。泄漏处理一般分为泄漏源控制和泄漏物处置两部分。</w:t>
      </w:r>
    </w:p>
    <w:p>
      <w:pPr>
        <w:widowControl/>
        <w:spacing w:line="500" w:lineRule="exact"/>
        <w:ind w:firstLine="482" w:firstLineChars="200"/>
        <w:jc w:val="left"/>
        <w:rPr>
          <w:rFonts w:ascii="Times New Roman" w:hAnsi="Times New Roman" w:cs="Times New Roman"/>
          <w:color w:val="000000" w:themeColor="text1"/>
          <w:kern w:val="0"/>
          <w:sz w:val="24"/>
          <w:szCs w:val="24"/>
        </w:rPr>
      </w:pPr>
      <w:r>
        <w:rPr>
          <w:rFonts w:ascii="Times New Roman" w:hAnsi="Times New Roman" w:cs="Times New Roman"/>
          <w:b/>
          <w:color w:val="000000" w:themeColor="text1"/>
          <w:kern w:val="0"/>
          <w:sz w:val="24"/>
          <w:szCs w:val="24"/>
        </w:rPr>
        <w:t>应急监测：</w:t>
      </w:r>
      <w:r>
        <w:rPr>
          <w:rFonts w:ascii="Times New Roman" w:hAnsi="Times New Roman" w:cs="Times New Roman"/>
          <w:color w:val="000000" w:themeColor="text1"/>
          <w:kern w:val="0"/>
          <w:sz w:val="24"/>
          <w:szCs w:val="24"/>
        </w:rPr>
        <w:t>环境应急情况下，为发现和查明环境污染情况和污染范围而进行的环境监测。包括定点监测和动态监测。</w:t>
      </w:r>
    </w:p>
    <w:p>
      <w:pPr>
        <w:widowControl/>
        <w:spacing w:line="500" w:lineRule="exact"/>
        <w:ind w:firstLine="482" w:firstLineChars="200"/>
        <w:jc w:val="left"/>
        <w:rPr>
          <w:rFonts w:ascii="Times New Roman" w:hAnsi="Times New Roman" w:cs="Times New Roman"/>
          <w:color w:val="000000" w:themeColor="text1"/>
          <w:kern w:val="0"/>
          <w:sz w:val="24"/>
          <w:szCs w:val="24"/>
        </w:rPr>
        <w:sectPr>
          <w:headerReference r:id="rId3" w:type="default"/>
          <w:footerReference r:id="rId4" w:type="default"/>
          <w:type w:val="continuous"/>
          <w:pgSz w:w="11920" w:h="16840"/>
          <w:pgMar w:top="1440" w:right="1080" w:bottom="1440" w:left="1080" w:header="878" w:footer="1081" w:gutter="0"/>
          <w:pgBorders>
            <w:top w:val="none" w:sz="0" w:space="0"/>
            <w:left w:val="none" w:sz="0" w:space="0"/>
            <w:bottom w:val="none" w:sz="0" w:space="0"/>
            <w:right w:val="none" w:sz="0" w:space="0"/>
          </w:pgBorders>
          <w:pgNumType w:start="1"/>
          <w:cols w:space="720" w:num="1"/>
        </w:sectPr>
      </w:pPr>
      <w:r>
        <w:rPr>
          <w:rFonts w:ascii="Times New Roman" w:hAnsi="Times New Roman" w:cs="Times New Roman"/>
          <w:b/>
          <w:color w:val="000000" w:themeColor="text1"/>
          <w:kern w:val="0"/>
          <w:sz w:val="24"/>
          <w:szCs w:val="24"/>
        </w:rPr>
        <w:t>应急演习：</w:t>
      </w:r>
      <w:r>
        <w:rPr>
          <w:rFonts w:ascii="Times New Roman" w:hAnsi="Times New Roman" w:cs="Times New Roman"/>
          <w:color w:val="000000" w:themeColor="text1"/>
          <w:kern w:val="0"/>
          <w:sz w:val="24"/>
          <w:szCs w:val="24"/>
        </w:rPr>
        <w:t>为检验应急计划的有效性、应急准备的完善性、应急响应能力的适应性和应急人员的协同性而进行的一种模拟应急响应的实践活动，根据所涉及的内容和范围</w:t>
      </w:r>
    </w:p>
    <w:p>
      <w:pPr>
        <w:widowControl/>
        <w:spacing w:line="500" w:lineRule="exact"/>
        <w:ind w:firstLine="480" w:firstLineChars="200"/>
        <w:jc w:val="left"/>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的不同，可分为单项演习（演练）、综合演习和指挥中心、现场应急组织联合进行的联合演习。</w:t>
      </w:r>
    </w:p>
    <w:p>
      <w:pPr>
        <w:widowControl/>
        <w:spacing w:line="500" w:lineRule="exact"/>
        <w:ind w:firstLine="482" w:firstLineChars="200"/>
        <w:jc w:val="left"/>
        <w:rPr>
          <w:rFonts w:ascii="Times New Roman" w:hAnsi="Times New Roman" w:cs="Times New Roman"/>
          <w:color w:val="000000" w:themeColor="text1"/>
          <w:kern w:val="0"/>
          <w:sz w:val="24"/>
          <w:szCs w:val="24"/>
        </w:rPr>
      </w:pPr>
      <w:r>
        <w:rPr>
          <w:rFonts w:ascii="Times New Roman" w:hAnsi="Times New Roman" w:cs="Times New Roman"/>
          <w:b/>
          <w:color w:val="000000" w:themeColor="text1"/>
          <w:kern w:val="0"/>
          <w:sz w:val="24"/>
          <w:szCs w:val="24"/>
        </w:rPr>
        <w:t>突发环境事件应急预案：</w:t>
      </w:r>
      <w:r>
        <w:rPr>
          <w:rFonts w:ascii="Times New Roman" w:hAnsi="Times New Roman" w:cs="Times New Roman"/>
          <w:color w:val="000000" w:themeColor="text1"/>
          <w:kern w:val="0"/>
          <w:sz w:val="24"/>
          <w:szCs w:val="24"/>
        </w:rPr>
        <w:t>是指针对可能发生的突发环境事件，为确保迅速、有序、高效地开展应急处置，减少人员伤亡和经济损失而预先制定的计划或方案。</w:t>
      </w:r>
    </w:p>
    <w:p>
      <w:pPr>
        <w:widowControl/>
        <w:spacing w:line="500" w:lineRule="exact"/>
        <w:ind w:firstLine="482" w:firstLineChars="200"/>
        <w:jc w:val="left"/>
        <w:rPr>
          <w:rFonts w:ascii="Times New Roman" w:hAnsi="Times New Roman" w:cs="Times New Roman"/>
          <w:color w:val="000000" w:themeColor="text1"/>
          <w:kern w:val="0"/>
          <w:sz w:val="24"/>
          <w:szCs w:val="24"/>
        </w:rPr>
      </w:pPr>
      <w:r>
        <w:rPr>
          <w:rFonts w:ascii="Times New Roman" w:hAnsi="Times New Roman" w:cs="Times New Roman"/>
          <w:b/>
          <w:color w:val="000000" w:themeColor="text1"/>
          <w:kern w:val="0"/>
          <w:sz w:val="24"/>
          <w:szCs w:val="24"/>
        </w:rPr>
        <w:t>环境风险：</w:t>
      </w:r>
      <w:r>
        <w:rPr>
          <w:rFonts w:ascii="Times New Roman" w:hAnsi="Times New Roman" w:cs="Times New Roman"/>
          <w:color w:val="000000" w:themeColor="text1"/>
          <w:kern w:val="0"/>
          <w:sz w:val="24"/>
          <w:szCs w:val="24"/>
        </w:rPr>
        <w:t>是指突发环境事件对环境（或健康）的危险程度。</w:t>
      </w:r>
    </w:p>
    <w:p>
      <w:pPr>
        <w:widowControl/>
        <w:spacing w:line="500" w:lineRule="exact"/>
        <w:ind w:firstLine="482" w:firstLineChars="200"/>
        <w:jc w:val="left"/>
        <w:rPr>
          <w:rFonts w:ascii="Times New Roman" w:hAnsi="Times New Roman" w:cs="Times New Roman"/>
          <w:color w:val="000000" w:themeColor="text1"/>
          <w:kern w:val="0"/>
          <w:sz w:val="24"/>
          <w:szCs w:val="24"/>
        </w:rPr>
      </w:pPr>
      <w:r>
        <w:rPr>
          <w:rFonts w:ascii="Times New Roman" w:hAnsi="Times New Roman" w:cs="Times New Roman"/>
          <w:b/>
          <w:color w:val="000000" w:themeColor="text1"/>
          <w:kern w:val="0"/>
          <w:sz w:val="24"/>
          <w:szCs w:val="24"/>
        </w:rPr>
        <w:t>危险源：</w:t>
      </w:r>
      <w:r>
        <w:rPr>
          <w:rFonts w:ascii="Times New Roman" w:hAnsi="Times New Roman" w:cs="Times New Roman"/>
          <w:color w:val="000000" w:themeColor="text1"/>
          <w:kern w:val="0"/>
          <w:sz w:val="24"/>
          <w:szCs w:val="24"/>
        </w:rPr>
        <w:t>是指可能导致伤害或疾病、财产损失、环境破坏或这些情况组合的根源或状态。</w:t>
      </w:r>
    </w:p>
    <w:p>
      <w:pPr>
        <w:spacing w:line="500" w:lineRule="exact"/>
        <w:ind w:firstLine="482" w:firstLineChars="200"/>
        <w:jc w:val="left"/>
        <w:rPr>
          <w:rFonts w:ascii="Times New Roman" w:hAnsi="Times New Roman" w:cs="Times New Roman"/>
          <w:color w:val="000000" w:themeColor="text1"/>
          <w:kern w:val="0"/>
          <w:sz w:val="24"/>
          <w:szCs w:val="24"/>
        </w:rPr>
      </w:pPr>
      <w:r>
        <w:rPr>
          <w:rFonts w:ascii="Times New Roman" w:hAnsi="Times New Roman" w:cs="Times New Roman"/>
          <w:b/>
          <w:color w:val="000000" w:themeColor="text1"/>
          <w:kern w:val="0"/>
          <w:sz w:val="24"/>
          <w:szCs w:val="24"/>
        </w:rPr>
        <w:t>环境敏感点：</w:t>
      </w:r>
      <w:r>
        <w:rPr>
          <w:rFonts w:ascii="Times New Roman" w:hAnsi="Times New Roman" w:cs="Times New Roman"/>
          <w:color w:val="000000" w:themeColor="text1"/>
          <w:kern w:val="0"/>
          <w:sz w:val="24"/>
          <w:szCs w:val="24"/>
        </w:rPr>
        <w:t>参照《建设项目环境影响评价分类管理名录》中“环境敏感区”的定义。</w:t>
      </w:r>
    </w:p>
    <w:p>
      <w:pPr>
        <w:keepNext/>
        <w:keepLines/>
        <w:spacing w:beforeLines="150" w:line="320" w:lineRule="exact"/>
        <w:outlineLvl w:val="0"/>
        <w:rPr>
          <w:rFonts w:ascii="Times New Roman" w:hAnsi="Times New Roman" w:cs="Times New Roman"/>
          <w:b/>
          <w:bCs/>
          <w:color w:val="000000" w:themeColor="text1"/>
          <w:kern w:val="44"/>
          <w:sz w:val="30"/>
          <w:szCs w:val="30"/>
        </w:rPr>
        <w:sectPr>
          <w:footerReference r:id="rId5" w:type="default"/>
          <w:type w:val="continuous"/>
          <w:pgSz w:w="11920" w:h="16840"/>
          <w:pgMar w:top="1440" w:right="1080" w:bottom="1440" w:left="1080" w:header="878" w:footer="1081" w:gutter="0"/>
          <w:pgBorders>
            <w:top w:val="none" w:sz="0" w:space="0"/>
            <w:left w:val="none" w:sz="0" w:space="0"/>
            <w:bottom w:val="none" w:sz="0" w:space="0"/>
            <w:right w:val="none" w:sz="0" w:space="0"/>
          </w:pgBorders>
          <w:cols w:space="720" w:num="1"/>
        </w:sectPr>
      </w:pPr>
      <w:bookmarkStart w:id="1290" w:name="_Toc29772_WPSOffice_Level1"/>
      <w:bookmarkStart w:id="1291" w:name="_Toc10663_WPSOffice_Level1"/>
      <w:bookmarkStart w:id="1292" w:name="_Toc21391"/>
      <w:bookmarkStart w:id="1293" w:name="_Toc9398"/>
    </w:p>
    <w:p>
      <w:pPr>
        <w:rPr>
          <w:rFonts w:ascii="Times New Roman" w:hAnsi="Times New Roman" w:cs="Times New Roman"/>
          <w:b/>
          <w:bCs/>
          <w:color w:val="000000" w:themeColor="text1"/>
          <w:kern w:val="44"/>
          <w:sz w:val="30"/>
          <w:szCs w:val="30"/>
        </w:rPr>
      </w:pPr>
      <w:bookmarkStart w:id="1294" w:name="_Toc17979_WPSOffice_Level1"/>
      <w:bookmarkStart w:id="1295" w:name="_Toc10928_WPSOffice_Level1"/>
      <w:bookmarkStart w:id="1296" w:name="_Toc25432_WPSOffice_Level1"/>
      <w:r>
        <w:rPr>
          <w:rFonts w:ascii="Times New Roman" w:hAnsi="Times New Roman" w:cs="Times New Roman"/>
          <w:b/>
          <w:bCs/>
          <w:color w:val="000000" w:themeColor="text1"/>
          <w:kern w:val="44"/>
          <w:sz w:val="30"/>
          <w:szCs w:val="30"/>
        </w:rPr>
        <w:br w:type="page"/>
      </w:r>
    </w:p>
    <w:p>
      <w:pPr>
        <w:keepNext/>
        <w:keepLines/>
        <w:spacing w:beforeLines="150" w:line="320" w:lineRule="exact"/>
        <w:ind w:left="608" w:hanging="608" w:hangingChars="202"/>
        <w:outlineLvl w:val="0"/>
        <w:rPr>
          <w:rFonts w:ascii="Times New Roman" w:hAnsi="Times New Roman" w:cs="Times New Roman"/>
          <w:b/>
          <w:bCs/>
          <w:color w:val="000000" w:themeColor="text1"/>
          <w:kern w:val="44"/>
          <w:sz w:val="30"/>
          <w:szCs w:val="30"/>
        </w:rPr>
      </w:pPr>
      <w:bookmarkStart w:id="1297" w:name="_Toc25070"/>
      <w:r>
        <w:rPr>
          <w:rFonts w:ascii="Times New Roman" w:hAnsi="Times New Roman" w:cs="Times New Roman"/>
          <w:b/>
          <w:bCs/>
          <w:color w:val="000000" w:themeColor="text1"/>
          <w:kern w:val="44"/>
          <w:sz w:val="30"/>
          <w:szCs w:val="30"/>
        </w:rPr>
        <w:t>附件</w:t>
      </w:r>
      <w:bookmarkEnd w:id="1290"/>
      <w:bookmarkEnd w:id="1291"/>
      <w:bookmarkEnd w:id="1292"/>
      <w:bookmarkEnd w:id="1293"/>
      <w:bookmarkEnd w:id="1294"/>
      <w:bookmarkEnd w:id="1295"/>
      <w:bookmarkEnd w:id="1296"/>
      <w:bookmarkEnd w:id="1297"/>
    </w:p>
    <w:p>
      <w:pPr>
        <w:keepNext/>
        <w:keepLines/>
        <w:spacing w:beforeLines="50" w:afterLines="50" w:line="500" w:lineRule="exact"/>
        <w:jc w:val="left"/>
        <w:outlineLvl w:val="1"/>
        <w:rPr>
          <w:rFonts w:ascii="Times New Roman" w:hAnsi="Times New Roman" w:cs="Times New Roman"/>
          <w:color w:val="000000" w:themeColor="text1"/>
          <w:kern w:val="0"/>
          <w:sz w:val="24"/>
          <w:szCs w:val="24"/>
          <w:lang w:val="zh-CN"/>
        </w:rPr>
      </w:pPr>
      <w:bookmarkStart w:id="1298" w:name="_Toc12377"/>
      <w:bookmarkStart w:id="1299" w:name="_Toc32634"/>
      <w:bookmarkStart w:id="1300" w:name="_Toc16347"/>
      <w:bookmarkStart w:id="1301" w:name="_Toc27914"/>
      <w:r>
        <w:rPr>
          <w:rFonts w:ascii="Times New Roman" w:hAnsi="Times New Roman" w:cs="Times New Roman"/>
          <w:b/>
          <w:bCs/>
          <w:color w:val="000000" w:themeColor="text1"/>
          <w:sz w:val="24"/>
          <w:szCs w:val="24"/>
        </w:rPr>
        <w:t>附件一：中国</w:t>
      </w:r>
      <w:r>
        <w:rPr>
          <w:rFonts w:hint="eastAsia" w:ascii="Times New Roman" w:hAnsi="Times New Roman" w:cs="Times New Roman"/>
          <w:b/>
          <w:bCs/>
          <w:color w:val="000000" w:themeColor="text1"/>
          <w:sz w:val="24"/>
          <w:szCs w:val="24"/>
          <w:lang w:val="en-US" w:eastAsia="zh-CN"/>
        </w:rPr>
        <w:t>石油天然气</w:t>
      </w:r>
      <w:r>
        <w:rPr>
          <w:rFonts w:ascii="Times New Roman" w:hAnsi="Times New Roman" w:cs="Times New Roman"/>
          <w:b/>
          <w:bCs/>
          <w:color w:val="000000" w:themeColor="text1"/>
          <w:sz w:val="24"/>
          <w:szCs w:val="24"/>
        </w:rPr>
        <w:t>股份有限公司江西南昌</w:t>
      </w:r>
      <w:r>
        <w:rPr>
          <w:rFonts w:hint="eastAsia" w:ascii="Times New Roman" w:hAnsi="Times New Roman" w:cs="Times New Roman"/>
          <w:b/>
          <w:bCs/>
          <w:color w:val="000000" w:themeColor="text1"/>
          <w:sz w:val="24"/>
          <w:szCs w:val="24"/>
          <w:lang w:val="en-US" w:eastAsia="zh-CN"/>
        </w:rPr>
        <w:t>双港大道</w:t>
      </w:r>
      <w:r>
        <w:rPr>
          <w:rFonts w:ascii="Times New Roman" w:hAnsi="Times New Roman" w:cs="Times New Roman"/>
          <w:b/>
          <w:bCs/>
          <w:color w:val="000000" w:themeColor="text1"/>
          <w:sz w:val="24"/>
          <w:szCs w:val="24"/>
        </w:rPr>
        <w:t>加油站地理位置图</w:t>
      </w:r>
      <w:bookmarkEnd w:id="1298"/>
      <w:bookmarkEnd w:id="1299"/>
      <w:bookmarkEnd w:id="1300"/>
      <w:bookmarkEnd w:id="1301"/>
    </w:p>
    <w:p>
      <w:pPr>
        <w:widowControl/>
        <w:jc w:val="left"/>
        <w:rPr>
          <w:rFonts w:ascii="Times New Roman" w:hAnsi="Times New Roman" w:cs="Times New Roman"/>
          <w:color w:val="000000" w:themeColor="text1"/>
          <w:kern w:val="0"/>
          <w:sz w:val="24"/>
          <w:szCs w:val="24"/>
          <w:lang w:val="zh-CN"/>
        </w:rPr>
      </w:pPr>
      <w:r>
        <w:rPr>
          <w:rFonts w:hint="eastAsia" w:ascii="Times New Roman" w:hAnsi="Times New Roman" w:eastAsia="宋体" w:cs="Times New Roman"/>
          <w:sz w:val="24"/>
          <w:szCs w:val="20"/>
        </w:rPr>
        <w:drawing>
          <wp:anchor distT="0" distB="0" distL="114300" distR="114300" simplePos="0" relativeHeight="251699200" behindDoc="0" locked="0" layoutInCell="1" allowOverlap="1">
            <wp:simplePos x="0" y="0"/>
            <wp:positionH relativeFrom="column">
              <wp:posOffset>5521960</wp:posOffset>
            </wp:positionH>
            <wp:positionV relativeFrom="paragraph">
              <wp:posOffset>5715</wp:posOffset>
            </wp:positionV>
            <wp:extent cx="904875" cy="862330"/>
            <wp:effectExtent l="0" t="0" r="0" b="0"/>
            <wp:wrapNone/>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904875" cy="862459"/>
                    </a:xfrm>
                    <a:prstGeom prst="rect">
                      <a:avLst/>
                    </a:prstGeom>
                    <a:noFill/>
                    <a:ln>
                      <a:noFill/>
                    </a:ln>
                  </pic:spPr>
                </pic:pic>
              </a:graphicData>
            </a:graphic>
          </wp:anchor>
        </w:drawing>
      </w:r>
      <w:r>
        <w:pict>
          <v:shape id="对话气泡: 圆角矩形 35" o:spid="_x0000_s2109" o:spt="62" type="#_x0000_t62" style="position:absolute;left:0pt;margin-left:229.05pt;margin-top:132.9pt;height:27.75pt;width:77.25pt;z-index:251702272;v-text-anchor:middle;mso-width-relative:page;mso-height-relative:page;" fillcolor="#FFFFFF" filled="t" stroked="t" coordsize="21600,21600" o:gfxdata="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" adj="1723,42814,14400">
            <v:path/>
            <v:fill on="t" focussize="0,0"/>
            <v:stroke weight="2pt" color="#C0504D" joinstyle="round"/>
            <v:imagedata o:title=""/>
            <o:lock v:ext="edit"/>
            <v:textbox>
              <w:txbxContent>
                <w:p>
                  <w:pPr>
                    <w:jc w:val="center"/>
                  </w:pPr>
                  <w:r>
                    <w:rPr>
                      <w:rFonts w:hint="eastAsia"/>
                    </w:rPr>
                    <w:t>项目所在地</w:t>
                  </w:r>
                </w:p>
              </w:txbxContent>
            </v:textbox>
          </v:shape>
        </w:pict>
      </w:r>
      <w:r>
        <w:drawing>
          <wp:inline distT="0" distB="0" distL="114935" distR="114935">
            <wp:extent cx="6422390" cy="4956175"/>
            <wp:effectExtent l="0" t="0" r="8890" b="12065"/>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9"/>
                    <a:stretch>
                      <a:fillRect/>
                    </a:stretch>
                  </pic:blipFill>
                  <pic:spPr>
                    <a:xfrm>
                      <a:off x="0" y="0"/>
                      <a:ext cx="6422390" cy="4956175"/>
                    </a:xfrm>
                    <a:prstGeom prst="rect">
                      <a:avLst/>
                    </a:prstGeom>
                    <a:noFill/>
                    <a:ln>
                      <a:noFill/>
                    </a:ln>
                  </pic:spPr>
                </pic:pic>
              </a:graphicData>
            </a:graphic>
          </wp:inline>
        </w:drawing>
      </w:r>
    </w:p>
    <w:p>
      <w:pPr>
        <w:rPr>
          <w:rFonts w:ascii="Times New Roman" w:hAnsi="Times New Roman" w:cs="Times New Roman"/>
          <w:b/>
          <w:bCs/>
          <w:sz w:val="24"/>
          <w:szCs w:val="24"/>
        </w:rPr>
      </w:pPr>
      <w:bookmarkStart w:id="1302" w:name="_Toc24497"/>
      <w:bookmarkStart w:id="1303" w:name="_Toc27743"/>
      <w:bookmarkStart w:id="1304" w:name="_Toc1981"/>
      <w:r>
        <w:rPr>
          <w:rFonts w:ascii="Times New Roman" w:hAnsi="Times New Roman" w:cs="Times New Roman"/>
          <w:b/>
          <w:bCs/>
          <w:sz w:val="24"/>
          <w:szCs w:val="24"/>
        </w:rPr>
        <w:br w:type="page"/>
      </w:r>
    </w:p>
    <w:p>
      <w:pPr>
        <w:keepNext/>
        <w:keepLines/>
        <w:spacing w:beforeLines="50" w:afterLines="50" w:line="500" w:lineRule="exact"/>
        <w:jc w:val="left"/>
        <w:outlineLvl w:val="1"/>
        <w:rPr>
          <w:rFonts w:ascii="Times New Roman" w:hAnsi="Times New Roman" w:cs="Times New Roman"/>
          <w:b/>
          <w:bCs/>
          <w:sz w:val="24"/>
          <w:szCs w:val="24"/>
          <w:lang w:val="zh-CN"/>
        </w:rPr>
      </w:pPr>
      <w:bookmarkStart w:id="1305" w:name="_Toc21728"/>
      <w:r>
        <w:rPr>
          <w:rFonts w:ascii="Times New Roman" w:hAnsi="Times New Roman" w:cs="Times New Roman"/>
          <w:b/>
          <w:bCs/>
          <w:sz w:val="24"/>
          <w:szCs w:val="24"/>
        </w:rPr>
        <w:t>附件二：加油站平面布置图</w:t>
      </w:r>
      <w:bookmarkEnd w:id="1302"/>
      <w:bookmarkEnd w:id="1303"/>
      <w:bookmarkEnd w:id="1304"/>
      <w:bookmarkEnd w:id="1305"/>
    </w:p>
    <w:p/>
    <w:p>
      <w:pPr>
        <w:overflowPunct w:val="0"/>
        <w:topLinePunct/>
        <w:spacing w:line="360" w:lineRule="auto"/>
        <w:rPr>
          <w:rFonts w:ascii="Times New Roman" w:hAnsi="Times New Roman" w:cs="Times New Roman"/>
          <w:color w:val="000000" w:themeColor="text1"/>
          <w:lang w:val="zh-CN"/>
        </w:rPr>
      </w:pPr>
      <w:r>
        <w:drawing>
          <wp:inline distT="0" distB="0" distL="114300" distR="114300">
            <wp:extent cx="6193155" cy="3935095"/>
            <wp:effectExtent l="0" t="0" r="9525" b="12065"/>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pic:cNvPicPr>
                  </pic:nvPicPr>
                  <pic:blipFill>
                    <a:blip r:embed="rId25"/>
                    <a:stretch>
                      <a:fillRect/>
                    </a:stretch>
                  </pic:blipFill>
                  <pic:spPr>
                    <a:xfrm>
                      <a:off x="0" y="0"/>
                      <a:ext cx="6193155" cy="3935095"/>
                    </a:xfrm>
                    <a:prstGeom prst="rect">
                      <a:avLst/>
                    </a:prstGeom>
                    <a:noFill/>
                    <a:ln>
                      <a:noFill/>
                    </a:ln>
                  </pic:spPr>
                </pic:pic>
              </a:graphicData>
            </a:graphic>
          </wp:inline>
        </w:drawing>
      </w:r>
      <w:bookmarkEnd w:id="650"/>
    </w:p>
    <w:p>
      <w:pPr>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br w:type="page"/>
      </w:r>
    </w:p>
    <w:p>
      <w:pPr>
        <w:keepNext/>
        <w:keepLines/>
        <w:spacing w:beforeLines="50" w:afterLines="50" w:line="500" w:lineRule="exact"/>
        <w:jc w:val="left"/>
        <w:outlineLvl w:val="1"/>
        <w:rPr>
          <w:rFonts w:ascii="Times New Roman" w:hAnsi="Times New Roman" w:cs="Times New Roman"/>
          <w:b/>
          <w:bCs/>
          <w:color w:val="000000" w:themeColor="text1"/>
          <w:sz w:val="24"/>
          <w:szCs w:val="24"/>
        </w:rPr>
      </w:pPr>
      <w:bookmarkStart w:id="1306" w:name="_Toc30519"/>
      <w:bookmarkStart w:id="1307" w:name="_Toc22095"/>
      <w:bookmarkStart w:id="1308" w:name="_Toc31655"/>
      <w:r>
        <w:rPr>
          <w:rFonts w:hint="eastAsia" w:ascii="Times New Roman" w:hAnsi="Times New Roman" w:eastAsia="宋体" w:cs="Times New Roman"/>
          <w:sz w:val="24"/>
          <w:szCs w:val="20"/>
        </w:rPr>
        <w:drawing>
          <wp:anchor distT="0" distB="0" distL="114300" distR="114300" simplePos="0" relativeHeight="251701248" behindDoc="0" locked="0" layoutInCell="1" allowOverlap="1">
            <wp:simplePos x="0" y="0"/>
            <wp:positionH relativeFrom="column">
              <wp:posOffset>5580380</wp:posOffset>
            </wp:positionH>
            <wp:positionV relativeFrom="paragraph">
              <wp:posOffset>389255</wp:posOffset>
            </wp:positionV>
            <wp:extent cx="904875" cy="862330"/>
            <wp:effectExtent l="0" t="0" r="9525" b="0"/>
            <wp:wrapNone/>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904875" cy="862330"/>
                    </a:xfrm>
                    <a:prstGeom prst="rect">
                      <a:avLst/>
                    </a:prstGeom>
                    <a:noFill/>
                    <a:ln>
                      <a:noFill/>
                    </a:ln>
                  </pic:spPr>
                </pic:pic>
              </a:graphicData>
            </a:graphic>
          </wp:anchor>
        </w:drawing>
      </w:r>
      <w:r>
        <w:rPr>
          <w:rFonts w:ascii="Times New Roman" w:hAnsi="Times New Roman" w:cs="Times New Roman"/>
          <w:b/>
          <w:bCs/>
          <w:color w:val="000000" w:themeColor="text1"/>
          <w:sz w:val="24"/>
          <w:szCs w:val="24"/>
        </w:rPr>
        <w:t>附件三：加油站周边环境“环境敏感点”示意图</w:t>
      </w:r>
      <w:bookmarkEnd w:id="1306"/>
      <w:bookmarkEnd w:id="1307"/>
      <w:bookmarkEnd w:id="1308"/>
    </w:p>
    <w:p>
      <w:pPr>
        <w:pStyle w:val="2"/>
        <w:jc w:val="both"/>
      </w:pPr>
      <w:r>
        <w:rPr>
          <w:sz w:val="24"/>
        </w:rPr>
        <w:pict>
          <v:shape id="_x0000_s2117" o:spid="_x0000_s2117" o:spt="61" type="#_x0000_t61" style="position:absolute;left:0pt;margin-left:279.55pt;margin-top:195.85pt;height:22.9pt;width:95.35pt;z-index:251855872;mso-width-relative:page;mso-height-relative:page;" filled="f" stroked="t" coordsize="21600,21600" adj="-3134,53415">
            <v:path/>
            <v:fill on="f" focussize="0,0"/>
            <v:stroke weight="2.25pt" color="#C00000" joinstyle="miter"/>
            <v:imagedata o:title=""/>
            <o:lock v:ext="edit" aspectratio="f"/>
            <v:textbox>
              <w:txbxContent>
                <w:p>
                  <w:pPr>
                    <w:rPr>
                      <w:rFonts w:hint="default" w:eastAsiaTheme="minorEastAsia"/>
                      <w:b/>
                      <w:bCs/>
                      <w:sz w:val="24"/>
                      <w:szCs w:val="24"/>
                      <w:highlight w:val="yellow"/>
                      <w:lang w:val="en-US" w:eastAsia="zh-CN"/>
                    </w:rPr>
                  </w:pPr>
                  <w:r>
                    <w:rPr>
                      <w:rFonts w:hint="eastAsia"/>
                      <w:b/>
                      <w:bCs/>
                      <w:sz w:val="24"/>
                      <w:szCs w:val="24"/>
                      <w:highlight w:val="yellow"/>
                      <w:lang w:val="en-US" w:eastAsia="zh-CN"/>
                    </w:rPr>
                    <w:t>项目所在地</w:t>
                  </w:r>
                </w:p>
              </w:txbxContent>
            </v:textbox>
          </v:shape>
        </w:pict>
      </w:r>
      <w:r>
        <w:drawing>
          <wp:inline distT="0" distB="0" distL="114300" distR="114300">
            <wp:extent cx="6192520" cy="6282690"/>
            <wp:effectExtent l="0" t="0" r="10160" b="11430"/>
            <wp:docPr id="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4"/>
                    <pic:cNvPicPr>
                      <a:picLocks noChangeAspect="1"/>
                    </pic:cNvPicPr>
                  </pic:nvPicPr>
                  <pic:blipFill>
                    <a:blip r:embed="rId24"/>
                    <a:stretch>
                      <a:fillRect/>
                    </a:stretch>
                  </pic:blipFill>
                  <pic:spPr>
                    <a:xfrm>
                      <a:off x="0" y="0"/>
                      <a:ext cx="6192520" cy="6282690"/>
                    </a:xfrm>
                    <a:prstGeom prst="rect">
                      <a:avLst/>
                    </a:prstGeom>
                    <a:noFill/>
                    <a:ln>
                      <a:noFill/>
                    </a:ln>
                  </pic:spPr>
                </pic:pic>
              </a:graphicData>
            </a:graphic>
          </wp:inline>
        </w:drawing>
      </w:r>
    </w:p>
    <w:p>
      <w:pPr>
        <w:rPr>
          <w:rFonts w:ascii="Times New Roman" w:hAnsi="Times New Roman" w:cs="Times New Roman"/>
          <w:color w:val="000000" w:themeColor="text1"/>
        </w:rPr>
      </w:pPr>
      <w:r>
        <w:rPr>
          <w:rFonts w:ascii="Times New Roman" w:hAnsi="Times New Roman" w:cs="Times New Roman"/>
          <w:color w:val="000000" w:themeColor="text1"/>
        </w:rPr>
        <w:br w:type="page"/>
      </w:r>
    </w:p>
    <w:p>
      <w:pPr>
        <w:keepNext/>
        <w:keepLines/>
        <w:spacing w:beforeLines="50" w:afterLines="50" w:line="500" w:lineRule="exact"/>
        <w:jc w:val="left"/>
        <w:outlineLvl w:val="1"/>
        <w:rPr>
          <w:rFonts w:ascii="Times New Roman" w:hAnsi="Times New Roman" w:cs="Times New Roman"/>
          <w:b/>
          <w:bCs/>
          <w:sz w:val="24"/>
          <w:szCs w:val="24"/>
          <w:lang w:val="zh-CN"/>
        </w:rPr>
      </w:pPr>
      <w:bookmarkStart w:id="1309" w:name="_Toc19204"/>
      <w:bookmarkStart w:id="1310" w:name="_Toc9028"/>
      <w:bookmarkStart w:id="1311" w:name="_Toc27102"/>
      <w:r>
        <w:rPr>
          <w:rFonts w:ascii="Times New Roman" w:hAnsi="Times New Roman" w:cs="Times New Roman"/>
          <w:b/>
          <w:bCs/>
          <w:sz w:val="24"/>
          <w:szCs w:val="24"/>
          <w:lang w:val="zh-CN"/>
        </w:rPr>
        <w:t>附件四、加油站应急疏散线路图</w:t>
      </w:r>
      <w:bookmarkEnd w:id="1309"/>
      <w:bookmarkEnd w:id="1310"/>
      <w:bookmarkEnd w:id="1311"/>
    </w:p>
    <w:p>
      <w:pPr>
        <w:rPr>
          <w:rFonts w:ascii="Times New Roman" w:hAnsi="Times New Roman" w:cs="Times New Roman"/>
          <w:color w:val="000000" w:themeColor="text1"/>
        </w:rPr>
      </w:pPr>
      <w:r>
        <w:drawing>
          <wp:inline distT="0" distB="0" distL="114300" distR="114300">
            <wp:extent cx="6194425" cy="3568700"/>
            <wp:effectExtent l="0" t="0" r="8255" b="12700"/>
            <wp:docPr id="5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7"/>
                    <pic:cNvPicPr>
                      <a:picLocks noChangeAspect="1"/>
                    </pic:cNvPicPr>
                  </pic:nvPicPr>
                  <pic:blipFill>
                    <a:blip r:embed="rId34"/>
                    <a:stretch>
                      <a:fillRect/>
                    </a:stretch>
                  </pic:blipFill>
                  <pic:spPr>
                    <a:xfrm>
                      <a:off x="0" y="0"/>
                      <a:ext cx="6194425" cy="3568700"/>
                    </a:xfrm>
                    <a:prstGeom prst="rect">
                      <a:avLst/>
                    </a:prstGeom>
                    <a:noFill/>
                    <a:ln>
                      <a:noFill/>
                    </a:ln>
                  </pic:spPr>
                </pic:pic>
              </a:graphicData>
            </a:graphic>
          </wp:inline>
        </w:drawing>
      </w:r>
    </w:p>
    <w:p>
      <w:pPr>
        <w:pStyle w:val="2"/>
        <w:ind w:firstLine="496"/>
      </w:pPr>
      <w:r>
        <w:br w:type="page"/>
      </w:r>
    </w:p>
    <w:p>
      <w:pPr>
        <w:keepNext/>
        <w:keepLines/>
        <w:spacing w:beforeLines="150" w:line="360" w:lineRule="auto"/>
        <w:ind w:left="487" w:hanging="487" w:hangingChars="202"/>
        <w:jc w:val="left"/>
        <w:outlineLvl w:val="1"/>
        <w:rPr>
          <w:rFonts w:ascii="Times New Roman" w:hAnsi="Times New Roman" w:cs="Times New Roman"/>
          <w:b/>
          <w:bCs/>
          <w:color w:val="000000" w:themeColor="text1"/>
          <w:kern w:val="0"/>
          <w:sz w:val="24"/>
          <w:szCs w:val="24"/>
        </w:rPr>
      </w:pPr>
      <w:bookmarkStart w:id="1312" w:name="_Toc24458"/>
      <w:bookmarkStart w:id="1313" w:name="_Toc12354"/>
      <w:bookmarkStart w:id="1314" w:name="_Toc8030"/>
      <w:r>
        <w:rPr>
          <w:rFonts w:ascii="Times New Roman" w:hAnsi="Times New Roman" w:cs="Times New Roman"/>
          <w:b/>
          <w:bCs/>
          <w:color w:val="000000" w:themeColor="text1"/>
          <w:sz w:val="24"/>
          <w:szCs w:val="24"/>
        </w:rPr>
        <w:t>附件五: 突发环境事件应急领导小组成员及联系方式</w:t>
      </w:r>
      <w:bookmarkEnd w:id="1312"/>
      <w:bookmarkEnd w:id="1313"/>
      <w:bookmarkEnd w:id="1314"/>
    </w:p>
    <w:tbl>
      <w:tblPr>
        <w:tblStyle w:val="14"/>
        <w:tblW w:w="8259" w:type="dxa"/>
        <w:tblInd w:w="36" w:type="dxa"/>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Layout w:type="fixed"/>
        <w:tblCellMar>
          <w:top w:w="0" w:type="dxa"/>
          <w:left w:w="0" w:type="dxa"/>
          <w:bottom w:w="0" w:type="dxa"/>
          <w:right w:w="0" w:type="dxa"/>
        </w:tblCellMar>
      </w:tblPr>
      <w:tblGrid>
        <w:gridCol w:w="2103"/>
        <w:gridCol w:w="1313"/>
        <w:gridCol w:w="2023"/>
        <w:gridCol w:w="2820"/>
      </w:tblGrid>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460" w:hRule="atLeast"/>
        </w:trPr>
        <w:tc>
          <w:tcPr>
            <w:tcW w:w="2103" w:type="dxa"/>
            <w:tcBorders>
              <w:tl2br w:val="nil"/>
              <w:tr2bl w:val="nil"/>
            </w:tcBorders>
            <w:vAlign w:val="center"/>
          </w:tcPr>
          <w:p>
            <w:pPr>
              <w:pStyle w:val="37"/>
              <w:spacing w:line="240" w:lineRule="auto"/>
              <w:ind w:firstLineChars="0"/>
              <w:jc w:val="center"/>
              <w:rPr>
                <w:rStyle w:val="36"/>
                <w:rFonts w:hint="eastAsia" w:asciiTheme="minorEastAsia" w:hAnsiTheme="minorEastAsia" w:eastAsiaTheme="minorEastAsia" w:cstheme="minorEastAsia"/>
                <w:color w:val="000000" w:themeColor="text1"/>
                <w:spacing w:val="4"/>
                <w:sz w:val="21"/>
                <w:szCs w:val="21"/>
              </w:rPr>
            </w:pPr>
            <w:bookmarkStart w:id="1315" w:name="_Toc18397_WPSOffice_Level1"/>
            <w:bookmarkStart w:id="1316" w:name="_Toc11135_WPSOffice_Level1"/>
            <w:bookmarkStart w:id="1317" w:name="_Toc31825_WPSOffice_Level1"/>
            <w:bookmarkStart w:id="1318" w:name="_Toc21412_WPSOffice_Level1"/>
            <w:bookmarkStart w:id="1319" w:name="_Toc27516_WPSOffice_Level1"/>
            <w:bookmarkStart w:id="1320" w:name="_Toc23615_WPSOffice_Level1"/>
            <w:r>
              <w:rPr>
                <w:rFonts w:hint="eastAsia" w:asciiTheme="minorEastAsia" w:hAnsiTheme="minorEastAsia" w:eastAsiaTheme="minorEastAsia" w:cstheme="minorEastAsia"/>
                <w:bCs/>
                <w:color w:val="000000" w:themeColor="text1"/>
                <w:sz w:val="21"/>
                <w:szCs w:val="21"/>
              </w:rPr>
              <w:t>应急机构名称</w:t>
            </w:r>
          </w:p>
        </w:tc>
        <w:tc>
          <w:tcPr>
            <w:tcW w:w="1313" w:type="dxa"/>
            <w:tcBorders>
              <w:tl2br w:val="nil"/>
              <w:tr2bl w:val="nil"/>
            </w:tcBorders>
            <w:vAlign w:val="center"/>
          </w:tcPr>
          <w:p>
            <w:pPr>
              <w:pStyle w:val="37"/>
              <w:spacing w:line="240" w:lineRule="auto"/>
              <w:ind w:firstLineChars="0"/>
              <w:jc w:val="center"/>
              <w:rPr>
                <w:rStyle w:val="36"/>
                <w:rFonts w:hint="eastAsia" w:asciiTheme="minorEastAsia" w:hAnsiTheme="minorEastAsia" w:eastAsiaTheme="minorEastAsia" w:cstheme="minorEastAsia"/>
                <w:color w:val="000000" w:themeColor="text1"/>
                <w:spacing w:val="4"/>
                <w:sz w:val="21"/>
                <w:szCs w:val="21"/>
                <w:lang w:val="en-US" w:eastAsia="zh-CN"/>
              </w:rPr>
            </w:pPr>
            <w:r>
              <w:rPr>
                <w:rStyle w:val="36"/>
                <w:rFonts w:hint="eastAsia" w:asciiTheme="minorEastAsia" w:hAnsiTheme="minorEastAsia" w:eastAsiaTheme="minorEastAsia" w:cstheme="minorEastAsia"/>
                <w:color w:val="000000" w:themeColor="text1"/>
                <w:spacing w:val="4"/>
                <w:sz w:val="21"/>
                <w:szCs w:val="21"/>
                <w:lang w:val="en-US" w:eastAsia="zh-CN"/>
              </w:rPr>
              <w:t>姓名</w:t>
            </w:r>
          </w:p>
        </w:tc>
        <w:tc>
          <w:tcPr>
            <w:tcW w:w="2023" w:type="dxa"/>
            <w:tcBorders>
              <w:tl2br w:val="nil"/>
              <w:tr2bl w:val="nil"/>
            </w:tcBorders>
            <w:vAlign w:val="center"/>
          </w:tcPr>
          <w:p>
            <w:pPr>
              <w:pStyle w:val="37"/>
              <w:spacing w:line="240" w:lineRule="auto"/>
              <w:ind w:firstLineChars="0"/>
              <w:jc w:val="center"/>
              <w:rPr>
                <w:rStyle w:val="36"/>
                <w:rFonts w:hint="eastAsia" w:asciiTheme="minorEastAsia" w:hAnsiTheme="minorEastAsia" w:eastAsiaTheme="minorEastAsia" w:cstheme="minorEastAsia"/>
                <w:color w:val="000000" w:themeColor="text1"/>
                <w:spacing w:val="4"/>
                <w:sz w:val="21"/>
                <w:szCs w:val="21"/>
                <w:lang w:val="en-US" w:eastAsia="zh-CN"/>
              </w:rPr>
            </w:pPr>
            <w:r>
              <w:rPr>
                <w:rStyle w:val="36"/>
                <w:rFonts w:hint="eastAsia" w:asciiTheme="minorEastAsia" w:hAnsiTheme="minorEastAsia" w:eastAsiaTheme="minorEastAsia" w:cstheme="minorEastAsia"/>
                <w:color w:val="000000" w:themeColor="text1"/>
                <w:spacing w:val="4"/>
                <w:sz w:val="21"/>
                <w:szCs w:val="21"/>
                <w:lang w:val="en-US" w:eastAsia="zh-CN"/>
              </w:rPr>
              <w:t>公司职务</w:t>
            </w:r>
          </w:p>
        </w:tc>
        <w:tc>
          <w:tcPr>
            <w:tcW w:w="2820" w:type="dxa"/>
            <w:tcBorders>
              <w:tl2br w:val="nil"/>
              <w:tr2bl w:val="nil"/>
            </w:tcBorders>
            <w:vAlign w:val="center"/>
          </w:tcPr>
          <w:p>
            <w:pPr>
              <w:pStyle w:val="37"/>
              <w:spacing w:line="240" w:lineRule="auto"/>
              <w:ind w:firstLineChars="0"/>
              <w:jc w:val="center"/>
              <w:rPr>
                <w:rStyle w:val="36"/>
                <w:rFonts w:hint="eastAsia" w:asciiTheme="minorEastAsia" w:hAnsiTheme="minorEastAsia" w:eastAsiaTheme="minorEastAsia" w:cstheme="minorEastAsia"/>
                <w:color w:val="000000" w:themeColor="text1"/>
                <w:spacing w:val="4"/>
                <w:sz w:val="21"/>
                <w:szCs w:val="21"/>
                <w:lang w:val="en-US" w:eastAsia="zh-CN"/>
              </w:rPr>
            </w:pPr>
            <w:r>
              <w:rPr>
                <w:rStyle w:val="36"/>
                <w:rFonts w:hint="eastAsia" w:asciiTheme="minorEastAsia" w:hAnsiTheme="minorEastAsia" w:eastAsiaTheme="minorEastAsia" w:cstheme="minorEastAsia"/>
                <w:color w:val="000000" w:themeColor="text1"/>
                <w:spacing w:val="4"/>
                <w:sz w:val="21"/>
                <w:szCs w:val="21"/>
                <w:lang w:val="en-US" w:eastAsia="zh-CN"/>
              </w:rPr>
              <w:t>联系方式</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460" w:hRule="atLeast"/>
        </w:trPr>
        <w:tc>
          <w:tcPr>
            <w:tcW w:w="2103" w:type="dxa"/>
            <w:tcBorders>
              <w:tl2br w:val="nil"/>
              <w:tr2bl w:val="nil"/>
            </w:tcBorders>
            <w:vAlign w:val="center"/>
          </w:tcPr>
          <w:p>
            <w:pPr>
              <w:pStyle w:val="37"/>
              <w:spacing w:line="240" w:lineRule="auto"/>
              <w:ind w:firstLineChars="0"/>
              <w:jc w:val="center"/>
              <w:rPr>
                <w:rStyle w:val="36"/>
                <w:rFonts w:hint="eastAsia" w:asciiTheme="minorEastAsia" w:hAnsiTheme="minorEastAsia" w:eastAsiaTheme="minorEastAsia" w:cstheme="minorEastAsia"/>
                <w:color w:val="000000" w:themeColor="text1"/>
                <w:spacing w:val="4"/>
                <w:sz w:val="21"/>
                <w:szCs w:val="21"/>
                <w:lang w:val="en-US" w:eastAsia="zh-CN"/>
              </w:rPr>
            </w:pPr>
            <w:r>
              <w:rPr>
                <w:rStyle w:val="36"/>
                <w:rFonts w:hint="eastAsia" w:asciiTheme="minorEastAsia" w:hAnsiTheme="minorEastAsia" w:eastAsiaTheme="minorEastAsia" w:cstheme="minorEastAsia"/>
                <w:color w:val="000000" w:themeColor="text1"/>
                <w:spacing w:val="4"/>
                <w:sz w:val="21"/>
                <w:szCs w:val="21"/>
                <w:lang w:val="en-US" w:eastAsia="zh-CN"/>
              </w:rPr>
              <w:t>总指挥</w:t>
            </w:r>
          </w:p>
        </w:tc>
        <w:tc>
          <w:tcPr>
            <w:tcW w:w="1313" w:type="dxa"/>
            <w:tcBorders>
              <w:tl2br w:val="nil"/>
              <w:tr2bl w:val="nil"/>
            </w:tcBorders>
            <w:vAlign w:val="center"/>
          </w:tcPr>
          <w:p>
            <w:pPr>
              <w:pStyle w:val="37"/>
              <w:spacing w:line="240" w:lineRule="auto"/>
              <w:ind w:firstLine="0" w:firstLineChars="0"/>
              <w:jc w:val="center"/>
              <w:rPr>
                <w:rStyle w:val="36"/>
                <w:rFonts w:hint="eastAsia" w:asciiTheme="minorEastAsia" w:hAnsiTheme="minorEastAsia" w:eastAsiaTheme="minorEastAsia" w:cstheme="minorEastAsia"/>
                <w:color w:val="000000" w:themeColor="text1"/>
                <w:spacing w:val="4"/>
                <w:sz w:val="21"/>
                <w:szCs w:val="21"/>
              </w:rPr>
            </w:pPr>
            <w:r>
              <w:rPr>
                <w:rStyle w:val="36"/>
                <w:rFonts w:hint="eastAsia" w:asciiTheme="minorEastAsia" w:hAnsiTheme="minorEastAsia" w:eastAsiaTheme="minorEastAsia" w:cstheme="minorEastAsia"/>
                <w:spacing w:val="4"/>
                <w:sz w:val="21"/>
                <w:szCs w:val="21"/>
              </w:rPr>
              <w:t>李诵剑</w:t>
            </w:r>
          </w:p>
        </w:tc>
        <w:tc>
          <w:tcPr>
            <w:tcW w:w="2023" w:type="dxa"/>
            <w:tcBorders>
              <w:tl2br w:val="nil"/>
              <w:tr2bl w:val="nil"/>
            </w:tcBorders>
            <w:vAlign w:val="center"/>
          </w:tcPr>
          <w:p>
            <w:pPr>
              <w:pStyle w:val="37"/>
              <w:spacing w:line="240" w:lineRule="auto"/>
              <w:ind w:firstLine="0" w:firstLineChars="0"/>
              <w:jc w:val="center"/>
              <w:rPr>
                <w:rStyle w:val="36"/>
                <w:rFonts w:hint="eastAsia" w:asciiTheme="minorEastAsia" w:hAnsiTheme="minorEastAsia" w:eastAsiaTheme="minorEastAsia" w:cstheme="minorEastAsia"/>
                <w:color w:val="000000" w:themeColor="text1"/>
                <w:spacing w:val="4"/>
                <w:sz w:val="21"/>
                <w:szCs w:val="21"/>
              </w:rPr>
            </w:pPr>
            <w:r>
              <w:rPr>
                <w:rStyle w:val="36"/>
                <w:rFonts w:hint="eastAsia" w:asciiTheme="minorEastAsia" w:hAnsiTheme="minorEastAsia" w:eastAsiaTheme="minorEastAsia" w:cstheme="minorEastAsia"/>
                <w:spacing w:val="4"/>
                <w:sz w:val="21"/>
                <w:szCs w:val="21"/>
              </w:rPr>
              <w:t>站经理</w:t>
            </w:r>
          </w:p>
        </w:tc>
        <w:tc>
          <w:tcPr>
            <w:tcW w:w="2820" w:type="dxa"/>
            <w:tcBorders>
              <w:tl2br w:val="nil"/>
              <w:tr2bl w:val="nil"/>
            </w:tcBorders>
            <w:vAlign w:val="center"/>
          </w:tcPr>
          <w:p>
            <w:pPr>
              <w:bidi w:val="0"/>
              <w:jc w:val="center"/>
              <w:rPr>
                <w:rFonts w:hint="default" w:ascii="Times New Roman" w:hAnsi="Times New Roman" w:cs="Times New Roman"/>
              </w:rPr>
            </w:pPr>
            <w:r>
              <w:rPr>
                <w:rFonts w:hint="default" w:ascii="Times New Roman" w:hAnsi="Times New Roman" w:cs="Times New Roman"/>
              </w:rPr>
              <w:t>15180166013</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460" w:hRule="atLeast"/>
        </w:trPr>
        <w:tc>
          <w:tcPr>
            <w:tcW w:w="2103" w:type="dxa"/>
            <w:tcBorders>
              <w:tl2br w:val="nil"/>
              <w:tr2bl w:val="nil"/>
            </w:tcBorders>
            <w:vAlign w:val="center"/>
          </w:tcPr>
          <w:p>
            <w:pPr>
              <w:pStyle w:val="37"/>
              <w:spacing w:line="240" w:lineRule="auto"/>
              <w:ind w:firstLineChars="0"/>
              <w:jc w:val="center"/>
              <w:rPr>
                <w:rStyle w:val="36"/>
                <w:rFonts w:hint="eastAsia" w:asciiTheme="minorEastAsia" w:hAnsiTheme="minorEastAsia" w:eastAsiaTheme="minorEastAsia" w:cstheme="minorEastAsia"/>
                <w:color w:val="000000" w:themeColor="text1"/>
                <w:spacing w:val="4"/>
                <w:sz w:val="21"/>
                <w:szCs w:val="21"/>
                <w:lang w:val="en-US" w:eastAsia="zh-CN"/>
              </w:rPr>
            </w:pPr>
            <w:r>
              <w:rPr>
                <w:rStyle w:val="36"/>
                <w:rFonts w:hint="eastAsia" w:asciiTheme="minorEastAsia" w:hAnsiTheme="minorEastAsia" w:eastAsiaTheme="minorEastAsia" w:cstheme="minorEastAsia"/>
                <w:color w:val="000000" w:themeColor="text1"/>
                <w:spacing w:val="4"/>
                <w:sz w:val="21"/>
                <w:szCs w:val="21"/>
                <w:lang w:val="en-US" w:eastAsia="zh-CN"/>
              </w:rPr>
              <w:t>副总指挥</w:t>
            </w:r>
          </w:p>
        </w:tc>
        <w:tc>
          <w:tcPr>
            <w:tcW w:w="1313" w:type="dxa"/>
            <w:tcBorders>
              <w:tl2br w:val="nil"/>
              <w:tr2bl w:val="nil"/>
            </w:tcBorders>
            <w:vAlign w:val="center"/>
          </w:tcPr>
          <w:p>
            <w:pPr>
              <w:pStyle w:val="37"/>
              <w:spacing w:line="240" w:lineRule="auto"/>
              <w:ind w:firstLine="0" w:firstLineChars="0"/>
              <w:jc w:val="center"/>
              <w:rPr>
                <w:rStyle w:val="36"/>
                <w:rFonts w:hint="eastAsia" w:asciiTheme="minorEastAsia" w:hAnsiTheme="minorEastAsia" w:eastAsiaTheme="minorEastAsia" w:cstheme="minorEastAsia"/>
                <w:color w:val="000000" w:themeColor="text1"/>
                <w:spacing w:val="4"/>
                <w:sz w:val="21"/>
                <w:szCs w:val="21"/>
              </w:rPr>
            </w:pPr>
            <w:r>
              <w:rPr>
                <w:rStyle w:val="36"/>
                <w:rFonts w:hint="eastAsia" w:asciiTheme="minorEastAsia" w:hAnsiTheme="minorEastAsia" w:eastAsiaTheme="minorEastAsia" w:cstheme="minorEastAsia"/>
                <w:spacing w:val="4"/>
                <w:sz w:val="21"/>
                <w:szCs w:val="21"/>
              </w:rPr>
              <w:t>陈和川</w:t>
            </w:r>
          </w:p>
        </w:tc>
        <w:tc>
          <w:tcPr>
            <w:tcW w:w="2023" w:type="dxa"/>
            <w:tcBorders>
              <w:tl2br w:val="nil"/>
              <w:tr2bl w:val="nil"/>
            </w:tcBorders>
            <w:vAlign w:val="center"/>
          </w:tcPr>
          <w:p>
            <w:pPr>
              <w:pStyle w:val="37"/>
              <w:spacing w:line="240" w:lineRule="auto"/>
              <w:ind w:firstLine="0" w:firstLineChars="0"/>
              <w:jc w:val="center"/>
              <w:rPr>
                <w:rStyle w:val="36"/>
                <w:rFonts w:hint="eastAsia" w:asciiTheme="minorEastAsia" w:hAnsiTheme="minorEastAsia" w:eastAsiaTheme="minorEastAsia" w:cstheme="minorEastAsia"/>
                <w:color w:val="000000" w:themeColor="text1"/>
                <w:spacing w:val="4"/>
                <w:sz w:val="21"/>
                <w:szCs w:val="21"/>
              </w:rPr>
            </w:pPr>
            <w:r>
              <w:rPr>
                <w:rStyle w:val="36"/>
                <w:rFonts w:hint="eastAsia" w:asciiTheme="minorEastAsia" w:hAnsiTheme="minorEastAsia" w:eastAsiaTheme="minorEastAsia" w:cstheme="minorEastAsia"/>
                <w:spacing w:val="4"/>
                <w:sz w:val="21"/>
                <w:szCs w:val="21"/>
              </w:rPr>
              <w:t>前庭主管</w:t>
            </w:r>
          </w:p>
        </w:tc>
        <w:tc>
          <w:tcPr>
            <w:tcW w:w="2820" w:type="dxa"/>
            <w:tcBorders>
              <w:tl2br w:val="nil"/>
              <w:tr2bl w:val="nil"/>
            </w:tcBorders>
            <w:vAlign w:val="center"/>
          </w:tcPr>
          <w:p>
            <w:pPr>
              <w:bidi w:val="0"/>
              <w:jc w:val="center"/>
              <w:rPr>
                <w:rFonts w:hint="default" w:ascii="Times New Roman" w:hAnsi="Times New Roman" w:cs="Times New Roman"/>
              </w:rPr>
            </w:pPr>
            <w:r>
              <w:rPr>
                <w:rFonts w:hint="default" w:ascii="Times New Roman" w:hAnsi="Times New Roman" w:cs="Times New Roman"/>
              </w:rPr>
              <w:t>18720070872</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460" w:hRule="atLeast"/>
        </w:trPr>
        <w:tc>
          <w:tcPr>
            <w:tcW w:w="2103" w:type="dxa"/>
            <w:tcBorders>
              <w:tl2br w:val="nil"/>
              <w:tr2bl w:val="nil"/>
            </w:tcBorders>
            <w:vAlign w:val="center"/>
          </w:tcPr>
          <w:p>
            <w:pPr>
              <w:pStyle w:val="37"/>
              <w:spacing w:line="240" w:lineRule="auto"/>
              <w:ind w:firstLineChars="0"/>
              <w:jc w:val="center"/>
              <w:rPr>
                <w:rStyle w:val="36"/>
                <w:rFonts w:hint="eastAsia" w:asciiTheme="minorEastAsia" w:hAnsiTheme="minorEastAsia" w:eastAsiaTheme="minorEastAsia" w:cstheme="minorEastAsia"/>
                <w:color w:val="000000" w:themeColor="text1"/>
                <w:spacing w:val="4"/>
                <w:sz w:val="21"/>
                <w:szCs w:val="21"/>
              </w:rPr>
            </w:pPr>
            <w:r>
              <w:rPr>
                <w:rStyle w:val="36"/>
                <w:rFonts w:hint="eastAsia" w:asciiTheme="minorEastAsia" w:hAnsiTheme="minorEastAsia" w:eastAsiaTheme="minorEastAsia" w:cstheme="minorEastAsia"/>
                <w:color w:val="000000" w:themeColor="text1"/>
                <w:spacing w:val="4"/>
                <w:sz w:val="21"/>
                <w:szCs w:val="21"/>
                <w:lang w:val="en-US" w:eastAsia="zh-CN"/>
              </w:rPr>
              <w:t>应急指挥部办公室</w:t>
            </w:r>
          </w:p>
        </w:tc>
        <w:tc>
          <w:tcPr>
            <w:tcW w:w="1313" w:type="dxa"/>
            <w:tcBorders>
              <w:tl2br w:val="nil"/>
              <w:tr2bl w:val="nil"/>
            </w:tcBorders>
            <w:vAlign w:val="center"/>
          </w:tcPr>
          <w:p>
            <w:pPr>
              <w:pStyle w:val="37"/>
              <w:spacing w:line="240" w:lineRule="auto"/>
              <w:ind w:firstLine="0" w:firstLineChars="0"/>
              <w:jc w:val="center"/>
              <w:rPr>
                <w:rStyle w:val="36"/>
                <w:rFonts w:hint="eastAsia" w:asciiTheme="minorEastAsia" w:hAnsiTheme="minorEastAsia" w:eastAsiaTheme="minorEastAsia" w:cstheme="minorEastAsia"/>
                <w:color w:val="000000" w:themeColor="text1"/>
                <w:spacing w:val="4"/>
                <w:sz w:val="21"/>
                <w:szCs w:val="21"/>
              </w:rPr>
            </w:pPr>
            <w:r>
              <w:rPr>
                <w:rStyle w:val="36"/>
                <w:rFonts w:hint="eastAsia" w:asciiTheme="minorEastAsia" w:hAnsiTheme="minorEastAsia" w:eastAsiaTheme="minorEastAsia" w:cstheme="minorEastAsia"/>
                <w:spacing w:val="4"/>
                <w:sz w:val="21"/>
                <w:szCs w:val="21"/>
              </w:rPr>
              <w:t>熊艳红</w:t>
            </w:r>
          </w:p>
        </w:tc>
        <w:tc>
          <w:tcPr>
            <w:tcW w:w="2023" w:type="dxa"/>
            <w:tcBorders>
              <w:tl2br w:val="nil"/>
              <w:tr2bl w:val="nil"/>
            </w:tcBorders>
            <w:vAlign w:val="center"/>
          </w:tcPr>
          <w:p>
            <w:pPr>
              <w:pStyle w:val="37"/>
              <w:spacing w:line="240" w:lineRule="auto"/>
              <w:ind w:firstLine="0" w:firstLineChars="0"/>
              <w:jc w:val="center"/>
              <w:rPr>
                <w:rStyle w:val="36"/>
                <w:rFonts w:hint="eastAsia" w:asciiTheme="minorEastAsia" w:hAnsiTheme="minorEastAsia" w:eastAsiaTheme="minorEastAsia" w:cstheme="minorEastAsia"/>
                <w:color w:val="000000" w:themeColor="text1"/>
                <w:spacing w:val="4"/>
                <w:sz w:val="21"/>
                <w:szCs w:val="21"/>
              </w:rPr>
            </w:pPr>
            <w:r>
              <w:rPr>
                <w:rStyle w:val="36"/>
                <w:rFonts w:hint="eastAsia" w:asciiTheme="minorEastAsia" w:hAnsiTheme="minorEastAsia" w:eastAsiaTheme="minorEastAsia" w:cstheme="minorEastAsia"/>
                <w:spacing w:val="4"/>
                <w:sz w:val="21"/>
                <w:szCs w:val="21"/>
              </w:rPr>
              <w:t>营业员</w:t>
            </w:r>
          </w:p>
        </w:tc>
        <w:tc>
          <w:tcPr>
            <w:tcW w:w="2820" w:type="dxa"/>
            <w:tcBorders>
              <w:tl2br w:val="nil"/>
              <w:tr2bl w:val="nil"/>
            </w:tcBorders>
            <w:vAlign w:val="center"/>
          </w:tcPr>
          <w:p>
            <w:pPr>
              <w:bidi w:val="0"/>
              <w:jc w:val="center"/>
              <w:rPr>
                <w:rFonts w:hint="default" w:ascii="Times New Roman" w:hAnsi="Times New Roman" w:cs="Times New Roman"/>
              </w:rPr>
            </w:pPr>
            <w:r>
              <w:rPr>
                <w:rFonts w:hint="default" w:ascii="Times New Roman" w:hAnsi="Times New Roman" w:cs="Times New Roman"/>
              </w:rPr>
              <w:t>15070010820</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460" w:hRule="atLeast"/>
        </w:trPr>
        <w:tc>
          <w:tcPr>
            <w:tcW w:w="2103" w:type="dxa"/>
            <w:tcBorders>
              <w:tl2br w:val="nil"/>
              <w:tr2bl w:val="nil"/>
            </w:tcBorders>
            <w:vAlign w:val="center"/>
          </w:tcPr>
          <w:p>
            <w:pPr>
              <w:pStyle w:val="37"/>
              <w:spacing w:line="240" w:lineRule="auto"/>
              <w:ind w:firstLineChars="0"/>
              <w:jc w:val="center"/>
              <w:rPr>
                <w:rStyle w:val="36"/>
                <w:rFonts w:hint="eastAsia" w:asciiTheme="minorEastAsia" w:hAnsiTheme="minorEastAsia" w:eastAsiaTheme="minorEastAsia" w:cstheme="minorEastAsia"/>
                <w:color w:val="000000" w:themeColor="text1"/>
                <w:spacing w:val="4"/>
                <w:sz w:val="21"/>
                <w:szCs w:val="21"/>
              </w:rPr>
            </w:pPr>
            <w:r>
              <w:rPr>
                <w:rStyle w:val="36"/>
                <w:rFonts w:hint="eastAsia" w:asciiTheme="minorEastAsia" w:hAnsiTheme="minorEastAsia" w:eastAsiaTheme="minorEastAsia" w:cstheme="minorEastAsia"/>
                <w:color w:val="000000" w:themeColor="text1"/>
                <w:spacing w:val="4"/>
                <w:sz w:val="21"/>
                <w:szCs w:val="21"/>
              </w:rPr>
              <w:t>抢险救灾队</w:t>
            </w:r>
          </w:p>
        </w:tc>
        <w:tc>
          <w:tcPr>
            <w:tcW w:w="1313" w:type="dxa"/>
            <w:tcBorders>
              <w:tl2br w:val="nil"/>
              <w:tr2bl w:val="nil"/>
            </w:tcBorders>
            <w:vAlign w:val="center"/>
          </w:tcPr>
          <w:p>
            <w:pPr>
              <w:pStyle w:val="37"/>
              <w:spacing w:line="240" w:lineRule="auto"/>
              <w:ind w:firstLine="0" w:firstLineChars="0"/>
              <w:jc w:val="center"/>
              <w:rPr>
                <w:rStyle w:val="36"/>
                <w:rFonts w:hint="eastAsia" w:asciiTheme="minorEastAsia" w:hAnsiTheme="minorEastAsia" w:eastAsiaTheme="minorEastAsia" w:cstheme="minorEastAsia"/>
                <w:color w:val="000000" w:themeColor="text1"/>
                <w:spacing w:val="4"/>
                <w:sz w:val="21"/>
                <w:szCs w:val="21"/>
              </w:rPr>
            </w:pPr>
            <w:r>
              <w:rPr>
                <w:rStyle w:val="36"/>
                <w:rFonts w:hint="eastAsia" w:asciiTheme="minorEastAsia" w:hAnsiTheme="minorEastAsia" w:eastAsiaTheme="minorEastAsia" w:cstheme="minorEastAsia"/>
                <w:spacing w:val="4"/>
                <w:sz w:val="21"/>
                <w:szCs w:val="21"/>
              </w:rPr>
              <w:t>万艳茹</w:t>
            </w:r>
          </w:p>
        </w:tc>
        <w:tc>
          <w:tcPr>
            <w:tcW w:w="2023" w:type="dxa"/>
            <w:tcBorders>
              <w:tl2br w:val="nil"/>
              <w:tr2bl w:val="nil"/>
            </w:tcBorders>
            <w:vAlign w:val="center"/>
          </w:tcPr>
          <w:p>
            <w:pPr>
              <w:pStyle w:val="37"/>
              <w:spacing w:line="240" w:lineRule="auto"/>
              <w:jc w:val="center"/>
              <w:rPr>
                <w:rStyle w:val="36"/>
                <w:rFonts w:hint="eastAsia" w:asciiTheme="minorEastAsia" w:hAnsiTheme="minorEastAsia" w:eastAsiaTheme="minorEastAsia" w:cstheme="minorEastAsia"/>
                <w:color w:val="000000" w:themeColor="text1"/>
                <w:spacing w:val="4"/>
                <w:sz w:val="21"/>
                <w:szCs w:val="21"/>
              </w:rPr>
            </w:pPr>
            <w:r>
              <w:rPr>
                <w:rStyle w:val="36"/>
                <w:rFonts w:hint="eastAsia" w:asciiTheme="minorEastAsia" w:hAnsiTheme="minorEastAsia" w:eastAsiaTheme="minorEastAsia" w:cstheme="minorEastAsia"/>
                <w:spacing w:val="4"/>
                <w:sz w:val="21"/>
                <w:szCs w:val="21"/>
              </w:rPr>
              <w:t>营业员</w:t>
            </w:r>
          </w:p>
        </w:tc>
        <w:tc>
          <w:tcPr>
            <w:tcW w:w="2820" w:type="dxa"/>
            <w:tcBorders>
              <w:tl2br w:val="nil"/>
              <w:tr2bl w:val="nil"/>
            </w:tcBorders>
            <w:vAlign w:val="center"/>
          </w:tcPr>
          <w:p>
            <w:pPr>
              <w:bidi w:val="0"/>
              <w:jc w:val="center"/>
              <w:rPr>
                <w:rFonts w:hint="default" w:ascii="Times New Roman" w:hAnsi="Times New Roman" w:cs="Times New Roman"/>
              </w:rPr>
            </w:pPr>
            <w:r>
              <w:rPr>
                <w:rFonts w:hint="default" w:ascii="Times New Roman" w:hAnsi="Times New Roman" w:cs="Times New Roman"/>
              </w:rPr>
              <w:t>15979101357</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460" w:hRule="atLeast"/>
        </w:trPr>
        <w:tc>
          <w:tcPr>
            <w:tcW w:w="2103" w:type="dxa"/>
            <w:tcBorders>
              <w:tl2br w:val="nil"/>
              <w:tr2bl w:val="nil"/>
            </w:tcBorders>
            <w:vAlign w:val="center"/>
          </w:tcPr>
          <w:p>
            <w:pPr>
              <w:pStyle w:val="37"/>
              <w:spacing w:line="240" w:lineRule="auto"/>
              <w:ind w:firstLineChars="0"/>
              <w:jc w:val="center"/>
              <w:rPr>
                <w:rStyle w:val="36"/>
                <w:rFonts w:hint="eastAsia" w:asciiTheme="minorEastAsia" w:hAnsiTheme="minorEastAsia" w:eastAsiaTheme="minorEastAsia" w:cstheme="minorEastAsia"/>
                <w:color w:val="000000" w:themeColor="text1"/>
                <w:spacing w:val="4"/>
                <w:sz w:val="21"/>
                <w:szCs w:val="21"/>
              </w:rPr>
            </w:pPr>
            <w:r>
              <w:rPr>
                <w:rStyle w:val="36"/>
                <w:rFonts w:hint="eastAsia" w:asciiTheme="minorEastAsia" w:hAnsiTheme="minorEastAsia" w:eastAsiaTheme="minorEastAsia" w:cstheme="minorEastAsia"/>
                <w:color w:val="000000" w:themeColor="text1"/>
                <w:spacing w:val="4"/>
                <w:sz w:val="21"/>
                <w:szCs w:val="21"/>
                <w:lang w:val="en-US" w:eastAsia="zh-CN"/>
              </w:rPr>
              <w:t>警戒疏散队</w:t>
            </w:r>
          </w:p>
        </w:tc>
        <w:tc>
          <w:tcPr>
            <w:tcW w:w="1313" w:type="dxa"/>
            <w:tcBorders>
              <w:tl2br w:val="nil"/>
              <w:tr2bl w:val="nil"/>
            </w:tcBorders>
            <w:vAlign w:val="center"/>
          </w:tcPr>
          <w:p>
            <w:pPr>
              <w:pStyle w:val="37"/>
              <w:spacing w:line="240" w:lineRule="auto"/>
              <w:ind w:firstLine="0" w:firstLineChars="0"/>
              <w:jc w:val="center"/>
              <w:rPr>
                <w:rStyle w:val="36"/>
                <w:rFonts w:hint="eastAsia" w:asciiTheme="minorEastAsia" w:hAnsiTheme="minorEastAsia" w:eastAsiaTheme="minorEastAsia" w:cstheme="minorEastAsia"/>
                <w:color w:val="000000" w:themeColor="text1"/>
                <w:spacing w:val="4"/>
                <w:sz w:val="21"/>
                <w:szCs w:val="21"/>
              </w:rPr>
            </w:pPr>
            <w:r>
              <w:rPr>
                <w:rStyle w:val="36"/>
                <w:rFonts w:hint="eastAsia" w:asciiTheme="minorEastAsia" w:hAnsiTheme="minorEastAsia" w:eastAsiaTheme="minorEastAsia" w:cstheme="minorEastAsia"/>
                <w:spacing w:val="4"/>
                <w:sz w:val="21"/>
                <w:szCs w:val="21"/>
              </w:rPr>
              <w:t>高艳萍</w:t>
            </w:r>
          </w:p>
        </w:tc>
        <w:tc>
          <w:tcPr>
            <w:tcW w:w="2023" w:type="dxa"/>
            <w:tcBorders>
              <w:tl2br w:val="nil"/>
              <w:tr2bl w:val="nil"/>
            </w:tcBorders>
            <w:vAlign w:val="center"/>
          </w:tcPr>
          <w:p>
            <w:pPr>
              <w:pStyle w:val="37"/>
              <w:spacing w:line="240" w:lineRule="auto"/>
              <w:ind w:firstLine="0" w:firstLineChars="0"/>
              <w:jc w:val="center"/>
              <w:rPr>
                <w:rStyle w:val="36"/>
                <w:rFonts w:hint="eastAsia" w:asciiTheme="minorEastAsia" w:hAnsiTheme="minorEastAsia" w:eastAsiaTheme="minorEastAsia" w:cstheme="minorEastAsia"/>
                <w:color w:val="000000" w:themeColor="text1"/>
                <w:spacing w:val="4"/>
                <w:sz w:val="21"/>
                <w:szCs w:val="21"/>
              </w:rPr>
            </w:pPr>
            <w:r>
              <w:rPr>
                <w:rStyle w:val="36"/>
                <w:rFonts w:hint="eastAsia" w:asciiTheme="minorEastAsia" w:hAnsiTheme="minorEastAsia" w:eastAsiaTheme="minorEastAsia" w:cstheme="minorEastAsia"/>
                <w:spacing w:val="4"/>
                <w:sz w:val="21"/>
                <w:szCs w:val="21"/>
              </w:rPr>
              <w:t>营业员</w:t>
            </w:r>
          </w:p>
        </w:tc>
        <w:tc>
          <w:tcPr>
            <w:tcW w:w="2820" w:type="dxa"/>
            <w:tcBorders>
              <w:tl2br w:val="nil"/>
              <w:tr2bl w:val="nil"/>
            </w:tcBorders>
            <w:vAlign w:val="center"/>
          </w:tcPr>
          <w:p>
            <w:pPr>
              <w:bidi w:val="0"/>
              <w:jc w:val="center"/>
              <w:rPr>
                <w:rFonts w:hint="default" w:ascii="Times New Roman" w:hAnsi="Times New Roman" w:cs="Times New Roman"/>
              </w:rPr>
            </w:pPr>
            <w:r>
              <w:rPr>
                <w:rFonts w:hint="default" w:ascii="Times New Roman" w:hAnsi="Times New Roman" w:cs="Times New Roman"/>
              </w:rPr>
              <w:t>18146717777</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460" w:hRule="atLeast"/>
        </w:trPr>
        <w:tc>
          <w:tcPr>
            <w:tcW w:w="2103" w:type="dxa"/>
            <w:tcBorders>
              <w:tl2br w:val="nil"/>
              <w:tr2bl w:val="nil"/>
            </w:tcBorders>
            <w:vAlign w:val="center"/>
          </w:tcPr>
          <w:p>
            <w:pPr>
              <w:pStyle w:val="37"/>
              <w:spacing w:line="240" w:lineRule="auto"/>
              <w:ind w:firstLineChars="0"/>
              <w:jc w:val="center"/>
              <w:rPr>
                <w:rStyle w:val="36"/>
                <w:rFonts w:hint="eastAsia" w:asciiTheme="minorEastAsia" w:hAnsiTheme="minorEastAsia" w:eastAsiaTheme="minorEastAsia" w:cstheme="minorEastAsia"/>
                <w:color w:val="000000" w:themeColor="text1"/>
                <w:spacing w:val="4"/>
                <w:sz w:val="21"/>
                <w:szCs w:val="21"/>
              </w:rPr>
            </w:pPr>
            <w:r>
              <w:rPr>
                <w:rStyle w:val="36"/>
                <w:rFonts w:hint="eastAsia" w:asciiTheme="minorEastAsia" w:hAnsiTheme="minorEastAsia" w:eastAsiaTheme="minorEastAsia" w:cstheme="minorEastAsia"/>
                <w:color w:val="000000" w:themeColor="text1"/>
                <w:spacing w:val="4"/>
                <w:sz w:val="21"/>
                <w:szCs w:val="21"/>
                <w:lang w:val="en-US" w:eastAsia="zh-CN"/>
              </w:rPr>
              <w:t>环境监测队</w:t>
            </w:r>
          </w:p>
        </w:tc>
        <w:tc>
          <w:tcPr>
            <w:tcW w:w="1313" w:type="dxa"/>
            <w:tcBorders>
              <w:tl2br w:val="nil"/>
              <w:tr2bl w:val="nil"/>
            </w:tcBorders>
            <w:vAlign w:val="center"/>
          </w:tcPr>
          <w:p>
            <w:pPr>
              <w:pStyle w:val="37"/>
              <w:spacing w:line="240" w:lineRule="auto"/>
              <w:ind w:firstLine="0" w:firstLineChars="0"/>
              <w:jc w:val="center"/>
              <w:rPr>
                <w:rStyle w:val="36"/>
                <w:rFonts w:hint="eastAsia" w:asciiTheme="minorEastAsia" w:hAnsiTheme="minorEastAsia" w:eastAsiaTheme="minorEastAsia" w:cstheme="minorEastAsia"/>
                <w:color w:val="000000" w:themeColor="text1"/>
                <w:spacing w:val="4"/>
                <w:sz w:val="21"/>
                <w:szCs w:val="21"/>
              </w:rPr>
            </w:pPr>
            <w:r>
              <w:rPr>
                <w:rStyle w:val="36"/>
                <w:rFonts w:hint="eastAsia" w:asciiTheme="minorEastAsia" w:hAnsiTheme="minorEastAsia" w:eastAsiaTheme="minorEastAsia" w:cstheme="minorEastAsia"/>
                <w:spacing w:val="4"/>
                <w:sz w:val="21"/>
                <w:szCs w:val="21"/>
              </w:rPr>
              <w:t>陈荣霞</w:t>
            </w:r>
          </w:p>
        </w:tc>
        <w:tc>
          <w:tcPr>
            <w:tcW w:w="2023" w:type="dxa"/>
            <w:tcBorders>
              <w:tl2br w:val="nil"/>
              <w:tr2bl w:val="nil"/>
            </w:tcBorders>
            <w:vAlign w:val="center"/>
          </w:tcPr>
          <w:p>
            <w:pPr>
              <w:pStyle w:val="37"/>
              <w:spacing w:line="240" w:lineRule="auto"/>
              <w:ind w:firstLine="0" w:firstLineChars="0"/>
              <w:jc w:val="center"/>
              <w:rPr>
                <w:rStyle w:val="36"/>
                <w:rFonts w:hint="eastAsia" w:asciiTheme="minorEastAsia" w:hAnsiTheme="minorEastAsia" w:eastAsiaTheme="minorEastAsia" w:cstheme="minorEastAsia"/>
                <w:color w:val="000000" w:themeColor="text1"/>
                <w:spacing w:val="4"/>
                <w:sz w:val="21"/>
                <w:szCs w:val="21"/>
              </w:rPr>
            </w:pPr>
            <w:r>
              <w:rPr>
                <w:rStyle w:val="36"/>
                <w:rFonts w:hint="eastAsia" w:asciiTheme="minorEastAsia" w:hAnsiTheme="minorEastAsia" w:eastAsiaTheme="minorEastAsia" w:cstheme="minorEastAsia"/>
                <w:spacing w:val="4"/>
                <w:sz w:val="21"/>
                <w:szCs w:val="21"/>
              </w:rPr>
              <w:t>营业员</w:t>
            </w:r>
          </w:p>
        </w:tc>
        <w:tc>
          <w:tcPr>
            <w:tcW w:w="2820" w:type="dxa"/>
            <w:tcBorders>
              <w:tl2br w:val="nil"/>
              <w:tr2bl w:val="nil"/>
            </w:tcBorders>
            <w:vAlign w:val="center"/>
          </w:tcPr>
          <w:p>
            <w:pPr>
              <w:bidi w:val="0"/>
              <w:jc w:val="center"/>
              <w:rPr>
                <w:rFonts w:hint="default" w:ascii="Times New Roman" w:hAnsi="Times New Roman" w:cs="Times New Roman"/>
              </w:rPr>
            </w:pPr>
            <w:r>
              <w:rPr>
                <w:rFonts w:hint="default" w:ascii="Times New Roman" w:hAnsi="Times New Roman" w:cs="Times New Roman"/>
              </w:rPr>
              <w:t>13517095008</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460" w:hRule="atLeast"/>
        </w:trPr>
        <w:tc>
          <w:tcPr>
            <w:tcW w:w="2103" w:type="dxa"/>
            <w:tcBorders>
              <w:tl2br w:val="nil"/>
              <w:tr2bl w:val="nil"/>
            </w:tcBorders>
            <w:vAlign w:val="center"/>
          </w:tcPr>
          <w:p>
            <w:pPr>
              <w:pStyle w:val="37"/>
              <w:spacing w:line="240" w:lineRule="auto"/>
              <w:ind w:firstLineChars="0"/>
              <w:jc w:val="center"/>
              <w:rPr>
                <w:rStyle w:val="36"/>
                <w:rFonts w:hint="eastAsia" w:asciiTheme="minorEastAsia" w:hAnsiTheme="minorEastAsia" w:eastAsiaTheme="minorEastAsia" w:cstheme="minorEastAsia"/>
                <w:color w:val="000000" w:themeColor="text1"/>
                <w:spacing w:val="4"/>
                <w:sz w:val="21"/>
                <w:szCs w:val="21"/>
              </w:rPr>
            </w:pPr>
            <w:r>
              <w:rPr>
                <w:rStyle w:val="36"/>
                <w:rFonts w:hint="eastAsia" w:asciiTheme="minorEastAsia" w:hAnsiTheme="minorEastAsia" w:eastAsiaTheme="minorEastAsia" w:cstheme="minorEastAsia"/>
                <w:color w:val="000000" w:themeColor="text1"/>
                <w:spacing w:val="4"/>
                <w:sz w:val="21"/>
                <w:szCs w:val="21"/>
                <w:lang w:val="en-US" w:eastAsia="zh-CN"/>
              </w:rPr>
              <w:t>通讯及后勤保障队</w:t>
            </w:r>
          </w:p>
        </w:tc>
        <w:tc>
          <w:tcPr>
            <w:tcW w:w="1313" w:type="dxa"/>
            <w:tcBorders>
              <w:tl2br w:val="nil"/>
              <w:tr2bl w:val="nil"/>
            </w:tcBorders>
            <w:vAlign w:val="center"/>
          </w:tcPr>
          <w:p>
            <w:pPr>
              <w:pStyle w:val="37"/>
              <w:spacing w:line="240" w:lineRule="auto"/>
              <w:ind w:firstLine="0" w:firstLineChars="0"/>
              <w:jc w:val="center"/>
              <w:rPr>
                <w:rStyle w:val="36"/>
                <w:rFonts w:hint="eastAsia" w:asciiTheme="minorEastAsia" w:hAnsiTheme="minorEastAsia" w:eastAsiaTheme="minorEastAsia" w:cstheme="minorEastAsia"/>
                <w:color w:val="000000" w:themeColor="text1"/>
                <w:spacing w:val="4"/>
                <w:sz w:val="21"/>
                <w:szCs w:val="21"/>
              </w:rPr>
            </w:pPr>
            <w:r>
              <w:rPr>
                <w:rStyle w:val="36"/>
                <w:rFonts w:hint="eastAsia" w:asciiTheme="minorEastAsia" w:hAnsiTheme="minorEastAsia" w:eastAsiaTheme="minorEastAsia" w:cstheme="minorEastAsia"/>
                <w:spacing w:val="4"/>
                <w:sz w:val="21"/>
                <w:szCs w:val="21"/>
              </w:rPr>
              <w:t>李诵剑</w:t>
            </w:r>
          </w:p>
        </w:tc>
        <w:tc>
          <w:tcPr>
            <w:tcW w:w="2023" w:type="dxa"/>
            <w:tcBorders>
              <w:tl2br w:val="nil"/>
              <w:tr2bl w:val="nil"/>
            </w:tcBorders>
            <w:vAlign w:val="center"/>
          </w:tcPr>
          <w:p>
            <w:pPr>
              <w:pStyle w:val="37"/>
              <w:spacing w:line="240" w:lineRule="auto"/>
              <w:ind w:firstLine="0" w:firstLineChars="0"/>
              <w:jc w:val="center"/>
              <w:rPr>
                <w:rStyle w:val="36"/>
                <w:rFonts w:hint="eastAsia" w:asciiTheme="minorEastAsia" w:hAnsiTheme="minorEastAsia" w:eastAsiaTheme="minorEastAsia" w:cstheme="minorEastAsia"/>
                <w:color w:val="000000" w:themeColor="text1"/>
                <w:spacing w:val="4"/>
                <w:sz w:val="21"/>
                <w:szCs w:val="21"/>
              </w:rPr>
            </w:pPr>
            <w:r>
              <w:rPr>
                <w:rStyle w:val="36"/>
                <w:rFonts w:hint="eastAsia" w:asciiTheme="minorEastAsia" w:hAnsiTheme="minorEastAsia" w:eastAsiaTheme="minorEastAsia" w:cstheme="minorEastAsia"/>
                <w:spacing w:val="4"/>
                <w:sz w:val="21"/>
                <w:szCs w:val="21"/>
              </w:rPr>
              <w:t>站经理</w:t>
            </w:r>
          </w:p>
        </w:tc>
        <w:tc>
          <w:tcPr>
            <w:tcW w:w="2820" w:type="dxa"/>
            <w:tcBorders>
              <w:tl2br w:val="nil"/>
              <w:tr2bl w:val="nil"/>
            </w:tcBorders>
            <w:vAlign w:val="center"/>
          </w:tcPr>
          <w:p>
            <w:pPr>
              <w:bidi w:val="0"/>
              <w:jc w:val="center"/>
              <w:rPr>
                <w:rFonts w:hint="default" w:ascii="Times New Roman" w:hAnsi="Times New Roman" w:cs="Times New Roman"/>
              </w:rPr>
            </w:pPr>
            <w:r>
              <w:rPr>
                <w:rFonts w:hint="default" w:ascii="Times New Roman" w:hAnsi="Times New Roman" w:cs="Times New Roman"/>
              </w:rPr>
              <w:t>15180166013</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460" w:hRule="atLeast"/>
        </w:trPr>
        <w:tc>
          <w:tcPr>
            <w:tcW w:w="2103" w:type="dxa"/>
            <w:tcBorders>
              <w:tl2br w:val="nil"/>
              <w:tr2bl w:val="nil"/>
            </w:tcBorders>
            <w:vAlign w:val="center"/>
          </w:tcPr>
          <w:p>
            <w:pPr>
              <w:pStyle w:val="37"/>
              <w:spacing w:line="240" w:lineRule="auto"/>
              <w:ind w:firstLineChars="0"/>
              <w:jc w:val="center"/>
              <w:rPr>
                <w:rStyle w:val="36"/>
                <w:rFonts w:hint="eastAsia" w:asciiTheme="minorEastAsia" w:hAnsiTheme="minorEastAsia" w:eastAsiaTheme="minorEastAsia" w:cstheme="minorEastAsia"/>
                <w:color w:val="000000" w:themeColor="text1"/>
                <w:spacing w:val="4"/>
                <w:sz w:val="21"/>
                <w:szCs w:val="21"/>
              </w:rPr>
            </w:pPr>
            <w:r>
              <w:rPr>
                <w:rStyle w:val="36"/>
                <w:rFonts w:hint="eastAsia" w:asciiTheme="minorEastAsia" w:hAnsiTheme="minorEastAsia" w:eastAsiaTheme="minorEastAsia" w:cstheme="minorEastAsia"/>
                <w:color w:val="000000" w:themeColor="text1"/>
                <w:spacing w:val="4"/>
                <w:sz w:val="21"/>
                <w:szCs w:val="21"/>
                <w:lang w:val="en-US" w:eastAsia="zh-CN"/>
              </w:rPr>
              <w:t>医疗救护与善后处理队</w:t>
            </w:r>
          </w:p>
        </w:tc>
        <w:tc>
          <w:tcPr>
            <w:tcW w:w="1313" w:type="dxa"/>
            <w:tcBorders>
              <w:tl2br w:val="nil"/>
              <w:tr2bl w:val="nil"/>
            </w:tcBorders>
            <w:vAlign w:val="center"/>
          </w:tcPr>
          <w:p>
            <w:pPr>
              <w:pStyle w:val="37"/>
              <w:spacing w:line="240" w:lineRule="auto"/>
              <w:ind w:firstLine="0" w:firstLineChars="0"/>
              <w:jc w:val="center"/>
              <w:rPr>
                <w:rStyle w:val="36"/>
                <w:rFonts w:hint="eastAsia" w:asciiTheme="minorEastAsia" w:hAnsiTheme="minorEastAsia" w:eastAsiaTheme="minorEastAsia" w:cstheme="minorEastAsia"/>
                <w:color w:val="000000" w:themeColor="text1"/>
                <w:spacing w:val="4"/>
                <w:sz w:val="21"/>
                <w:szCs w:val="21"/>
              </w:rPr>
            </w:pPr>
            <w:r>
              <w:rPr>
                <w:rStyle w:val="36"/>
                <w:rFonts w:hint="eastAsia" w:asciiTheme="minorEastAsia" w:hAnsiTheme="minorEastAsia" w:eastAsiaTheme="minorEastAsia" w:cstheme="minorEastAsia"/>
                <w:spacing w:val="4"/>
                <w:sz w:val="21"/>
                <w:szCs w:val="21"/>
              </w:rPr>
              <w:t>陈和川</w:t>
            </w:r>
          </w:p>
        </w:tc>
        <w:tc>
          <w:tcPr>
            <w:tcW w:w="2023" w:type="dxa"/>
            <w:tcBorders>
              <w:tl2br w:val="nil"/>
              <w:tr2bl w:val="nil"/>
            </w:tcBorders>
            <w:vAlign w:val="center"/>
          </w:tcPr>
          <w:p>
            <w:pPr>
              <w:pStyle w:val="37"/>
              <w:spacing w:line="240" w:lineRule="auto"/>
              <w:ind w:firstLine="0" w:firstLineChars="0"/>
              <w:jc w:val="center"/>
              <w:rPr>
                <w:rStyle w:val="36"/>
                <w:rFonts w:hint="eastAsia" w:asciiTheme="minorEastAsia" w:hAnsiTheme="minorEastAsia" w:eastAsiaTheme="minorEastAsia" w:cstheme="minorEastAsia"/>
                <w:color w:val="000000" w:themeColor="text1"/>
                <w:spacing w:val="4"/>
                <w:sz w:val="21"/>
                <w:szCs w:val="21"/>
              </w:rPr>
            </w:pPr>
            <w:r>
              <w:rPr>
                <w:rStyle w:val="36"/>
                <w:rFonts w:hint="eastAsia" w:asciiTheme="minorEastAsia" w:hAnsiTheme="minorEastAsia" w:eastAsiaTheme="minorEastAsia" w:cstheme="minorEastAsia"/>
                <w:spacing w:val="4"/>
                <w:sz w:val="21"/>
                <w:szCs w:val="21"/>
              </w:rPr>
              <w:t>前庭主管</w:t>
            </w:r>
          </w:p>
        </w:tc>
        <w:tc>
          <w:tcPr>
            <w:tcW w:w="2820" w:type="dxa"/>
            <w:tcBorders>
              <w:tl2br w:val="nil"/>
              <w:tr2bl w:val="nil"/>
            </w:tcBorders>
            <w:vAlign w:val="center"/>
          </w:tcPr>
          <w:p>
            <w:pPr>
              <w:bidi w:val="0"/>
              <w:jc w:val="center"/>
              <w:rPr>
                <w:rFonts w:hint="default" w:ascii="Times New Roman" w:hAnsi="Times New Roman" w:cs="Times New Roman"/>
              </w:rPr>
            </w:pPr>
            <w:r>
              <w:rPr>
                <w:rFonts w:hint="default" w:ascii="Times New Roman" w:hAnsi="Times New Roman" w:cs="Times New Roman"/>
              </w:rPr>
              <w:t>18720070872</w:t>
            </w:r>
          </w:p>
        </w:tc>
      </w:tr>
    </w:tbl>
    <w:p>
      <w:pPr>
        <w:jc w:val="left"/>
        <w:rPr>
          <w:rFonts w:ascii="Times New Roman" w:hAnsi="Times New Roman" w:cs="Times New Roman"/>
          <w:b/>
          <w:color w:val="000000" w:themeColor="text1"/>
          <w:sz w:val="28"/>
          <w:szCs w:val="20"/>
        </w:rPr>
      </w:pPr>
    </w:p>
    <w:p>
      <w:pPr>
        <w:jc w:val="left"/>
        <w:rPr>
          <w:rFonts w:ascii="Times New Roman" w:hAnsi="Times New Roman" w:cs="Times New Roman"/>
          <w:b/>
          <w:color w:val="000000" w:themeColor="text1"/>
          <w:sz w:val="28"/>
          <w:szCs w:val="20"/>
        </w:rPr>
      </w:pPr>
      <w:r>
        <w:rPr>
          <w:rFonts w:ascii="Times New Roman" w:hAnsi="Times New Roman" w:cs="Times New Roman"/>
          <w:b/>
          <w:color w:val="000000" w:themeColor="text1"/>
          <w:sz w:val="28"/>
          <w:szCs w:val="20"/>
        </w:rPr>
        <w:t>外部救援通讯方式</w:t>
      </w:r>
      <w:bookmarkEnd w:id="1315"/>
      <w:bookmarkEnd w:id="1316"/>
      <w:bookmarkEnd w:id="1317"/>
      <w:bookmarkEnd w:id="1318"/>
      <w:bookmarkEnd w:id="1319"/>
      <w:bookmarkEnd w:id="1320"/>
    </w:p>
    <w:tbl>
      <w:tblPr>
        <w:tblStyle w:val="14"/>
        <w:tblpPr w:leftFromText="180" w:rightFromText="180" w:vertAnchor="text" w:horzAnchor="page" w:tblpX="1096" w:tblpY="311"/>
        <w:tblOverlap w:val="never"/>
        <w:tblW w:w="9578" w:type="dxa"/>
        <w:tblInd w:w="0" w:type="dxa"/>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Layout w:type="fixed"/>
        <w:tblCellMar>
          <w:top w:w="0" w:type="dxa"/>
          <w:left w:w="0" w:type="dxa"/>
          <w:bottom w:w="0" w:type="dxa"/>
          <w:right w:w="0" w:type="dxa"/>
        </w:tblCellMar>
      </w:tblPr>
      <w:tblGrid>
        <w:gridCol w:w="545"/>
        <w:gridCol w:w="4088"/>
        <w:gridCol w:w="1031"/>
        <w:gridCol w:w="2233"/>
        <w:gridCol w:w="1681"/>
      </w:tblGrid>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95" w:hRule="atLeast"/>
        </w:trPr>
        <w:tc>
          <w:tcPr>
            <w:tcW w:w="545" w:type="dxa"/>
            <w:tcBorders>
              <w:tl2br w:val="nil"/>
              <w:tr2bl w:val="nil"/>
            </w:tcBorders>
            <w:vAlign w:val="center"/>
          </w:tcPr>
          <w:p>
            <w:pPr>
              <w:ind w:firstLineChars="0"/>
              <w:jc w:val="center"/>
              <w:rPr>
                <w:rStyle w:val="36"/>
                <w:rFonts w:hint="eastAsia" w:asciiTheme="minorEastAsia" w:hAnsiTheme="minorEastAsia" w:eastAsiaTheme="minorEastAsia" w:cstheme="minorEastAsia"/>
                <w:b/>
                <w:bCs/>
                <w:color w:val="auto"/>
                <w:kern w:val="0"/>
                <w:sz w:val="21"/>
                <w:szCs w:val="21"/>
              </w:rPr>
            </w:pPr>
            <w:r>
              <w:rPr>
                <w:rStyle w:val="36"/>
                <w:rFonts w:hint="eastAsia" w:asciiTheme="minorEastAsia" w:hAnsiTheme="minorEastAsia" w:eastAsiaTheme="minorEastAsia" w:cstheme="minorEastAsia"/>
                <w:b/>
                <w:bCs/>
                <w:color w:val="auto"/>
                <w:kern w:val="0"/>
                <w:sz w:val="21"/>
                <w:szCs w:val="21"/>
              </w:rPr>
              <w:t>序号</w:t>
            </w:r>
          </w:p>
        </w:tc>
        <w:tc>
          <w:tcPr>
            <w:tcW w:w="4088" w:type="dxa"/>
            <w:tcBorders>
              <w:tl2br w:val="nil"/>
              <w:tr2bl w:val="nil"/>
            </w:tcBorders>
            <w:vAlign w:val="center"/>
          </w:tcPr>
          <w:p>
            <w:pPr>
              <w:ind w:firstLineChars="0"/>
              <w:jc w:val="center"/>
              <w:rPr>
                <w:rStyle w:val="36"/>
                <w:rFonts w:hint="eastAsia" w:asciiTheme="minorEastAsia" w:hAnsiTheme="minorEastAsia" w:eastAsiaTheme="minorEastAsia" w:cstheme="minorEastAsia"/>
                <w:b/>
                <w:bCs/>
                <w:color w:val="auto"/>
                <w:kern w:val="0"/>
                <w:sz w:val="21"/>
                <w:szCs w:val="21"/>
              </w:rPr>
            </w:pPr>
            <w:r>
              <w:rPr>
                <w:rStyle w:val="36"/>
                <w:rFonts w:hint="eastAsia" w:asciiTheme="minorEastAsia" w:hAnsiTheme="minorEastAsia" w:eastAsiaTheme="minorEastAsia" w:cstheme="minorEastAsia"/>
                <w:b/>
                <w:bCs/>
                <w:color w:val="auto"/>
                <w:kern w:val="0"/>
                <w:sz w:val="21"/>
                <w:szCs w:val="21"/>
              </w:rPr>
              <w:t>部门/职务</w:t>
            </w:r>
          </w:p>
        </w:tc>
        <w:tc>
          <w:tcPr>
            <w:tcW w:w="1031" w:type="dxa"/>
            <w:tcBorders>
              <w:tl2br w:val="nil"/>
              <w:tr2bl w:val="nil"/>
            </w:tcBorders>
            <w:vAlign w:val="center"/>
          </w:tcPr>
          <w:p>
            <w:pPr>
              <w:ind w:firstLineChars="0"/>
              <w:jc w:val="center"/>
              <w:rPr>
                <w:rStyle w:val="36"/>
                <w:rFonts w:hint="eastAsia" w:asciiTheme="minorEastAsia" w:hAnsiTheme="minorEastAsia" w:eastAsiaTheme="minorEastAsia" w:cstheme="minorEastAsia"/>
                <w:b/>
                <w:bCs/>
                <w:color w:val="auto"/>
                <w:kern w:val="0"/>
                <w:sz w:val="21"/>
                <w:szCs w:val="21"/>
              </w:rPr>
            </w:pPr>
            <w:r>
              <w:rPr>
                <w:rStyle w:val="36"/>
                <w:rFonts w:hint="eastAsia" w:asciiTheme="minorEastAsia" w:hAnsiTheme="minorEastAsia" w:eastAsiaTheme="minorEastAsia" w:cstheme="minorEastAsia"/>
                <w:b/>
                <w:bCs/>
                <w:color w:val="auto"/>
                <w:kern w:val="0"/>
                <w:sz w:val="21"/>
                <w:szCs w:val="21"/>
              </w:rPr>
              <w:t>联系人</w:t>
            </w:r>
          </w:p>
        </w:tc>
        <w:tc>
          <w:tcPr>
            <w:tcW w:w="2233" w:type="dxa"/>
            <w:tcBorders>
              <w:tl2br w:val="nil"/>
              <w:tr2bl w:val="nil"/>
            </w:tcBorders>
            <w:vAlign w:val="center"/>
          </w:tcPr>
          <w:p>
            <w:pPr>
              <w:ind w:firstLineChars="0"/>
              <w:jc w:val="center"/>
              <w:rPr>
                <w:rStyle w:val="36"/>
                <w:rFonts w:hint="eastAsia" w:asciiTheme="minorEastAsia" w:hAnsiTheme="minorEastAsia" w:eastAsiaTheme="minorEastAsia" w:cstheme="minorEastAsia"/>
                <w:b/>
                <w:bCs/>
                <w:color w:val="auto"/>
                <w:kern w:val="0"/>
                <w:sz w:val="21"/>
                <w:szCs w:val="21"/>
              </w:rPr>
            </w:pPr>
            <w:r>
              <w:rPr>
                <w:rStyle w:val="36"/>
                <w:rFonts w:hint="eastAsia" w:asciiTheme="minorEastAsia" w:hAnsiTheme="minorEastAsia" w:eastAsiaTheme="minorEastAsia" w:cstheme="minorEastAsia"/>
                <w:b/>
                <w:bCs/>
                <w:color w:val="auto"/>
                <w:kern w:val="0"/>
                <w:sz w:val="21"/>
                <w:szCs w:val="21"/>
              </w:rPr>
              <w:t>联系电话</w:t>
            </w:r>
          </w:p>
        </w:tc>
        <w:tc>
          <w:tcPr>
            <w:tcW w:w="1681" w:type="dxa"/>
            <w:tcBorders>
              <w:tl2br w:val="nil"/>
              <w:tr2bl w:val="nil"/>
            </w:tcBorders>
            <w:vAlign w:val="center"/>
          </w:tcPr>
          <w:p>
            <w:pPr>
              <w:ind w:firstLineChars="0"/>
              <w:jc w:val="center"/>
              <w:rPr>
                <w:rStyle w:val="36"/>
                <w:rFonts w:hint="eastAsia" w:asciiTheme="minorEastAsia" w:hAnsiTheme="minorEastAsia" w:eastAsiaTheme="minorEastAsia" w:cstheme="minorEastAsia"/>
                <w:b/>
                <w:bCs/>
                <w:color w:val="auto"/>
                <w:kern w:val="0"/>
                <w:sz w:val="21"/>
                <w:szCs w:val="21"/>
              </w:rPr>
            </w:pPr>
            <w:r>
              <w:rPr>
                <w:rStyle w:val="36"/>
                <w:rFonts w:hint="eastAsia" w:asciiTheme="minorEastAsia" w:hAnsiTheme="minorEastAsia" w:eastAsiaTheme="minorEastAsia" w:cstheme="minorEastAsia"/>
                <w:b/>
                <w:bCs/>
                <w:color w:val="auto"/>
                <w:kern w:val="0"/>
                <w:sz w:val="21"/>
                <w:szCs w:val="21"/>
              </w:rPr>
              <w:t>备注</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98" w:hRule="atLeast"/>
        </w:trPr>
        <w:tc>
          <w:tcPr>
            <w:tcW w:w="545"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eastAsiaTheme="minorEastAsia" w:cstheme="minorEastAsia"/>
                <w:color w:val="auto"/>
                <w:kern w:val="0"/>
                <w:sz w:val="21"/>
                <w:szCs w:val="21"/>
              </w:rPr>
              <w:t>1</w:t>
            </w:r>
          </w:p>
        </w:tc>
        <w:tc>
          <w:tcPr>
            <w:tcW w:w="4088"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南昌市（县）安全生产应急指挥中心</w:t>
            </w:r>
          </w:p>
        </w:tc>
        <w:tc>
          <w:tcPr>
            <w:tcW w:w="1031" w:type="dxa"/>
            <w:tcBorders>
              <w:tl2br w:val="nil"/>
              <w:tr2bl w:val="nil"/>
            </w:tcBorders>
            <w:vAlign w:val="center"/>
          </w:tcPr>
          <w:p>
            <w:pPr>
              <w:pStyle w:val="38"/>
              <w:spacing w:line="240" w:lineRule="auto"/>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金雯婷</w:t>
            </w:r>
          </w:p>
        </w:tc>
        <w:tc>
          <w:tcPr>
            <w:tcW w:w="2233"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87830820</w:t>
            </w:r>
          </w:p>
        </w:tc>
        <w:tc>
          <w:tcPr>
            <w:tcW w:w="1681"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98" w:hRule="atLeast"/>
        </w:trPr>
        <w:tc>
          <w:tcPr>
            <w:tcW w:w="545"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eastAsiaTheme="minorEastAsia" w:cstheme="minorEastAsia"/>
                <w:color w:val="auto"/>
                <w:kern w:val="0"/>
                <w:sz w:val="21"/>
                <w:szCs w:val="21"/>
              </w:rPr>
              <w:t>2</w:t>
            </w:r>
          </w:p>
        </w:tc>
        <w:tc>
          <w:tcPr>
            <w:tcW w:w="4088"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南昌市（县）应急救援中心</w:t>
            </w:r>
          </w:p>
        </w:tc>
        <w:tc>
          <w:tcPr>
            <w:tcW w:w="1031"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戴晓望</w:t>
            </w:r>
          </w:p>
        </w:tc>
        <w:tc>
          <w:tcPr>
            <w:tcW w:w="2233"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83986153</w:t>
            </w:r>
          </w:p>
        </w:tc>
        <w:tc>
          <w:tcPr>
            <w:tcW w:w="1681"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98" w:hRule="atLeast"/>
        </w:trPr>
        <w:tc>
          <w:tcPr>
            <w:tcW w:w="545"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eastAsiaTheme="minorEastAsia" w:cstheme="minorEastAsia"/>
                <w:color w:val="auto"/>
                <w:kern w:val="0"/>
                <w:sz w:val="21"/>
                <w:szCs w:val="21"/>
              </w:rPr>
              <w:t>3</w:t>
            </w:r>
          </w:p>
        </w:tc>
        <w:tc>
          <w:tcPr>
            <w:tcW w:w="4088"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南昌市（县）安监局副局长</w:t>
            </w:r>
          </w:p>
        </w:tc>
        <w:tc>
          <w:tcPr>
            <w:tcW w:w="1031"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万平</w:t>
            </w:r>
          </w:p>
        </w:tc>
        <w:tc>
          <w:tcPr>
            <w:tcW w:w="2233"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13507093311</w:t>
            </w:r>
          </w:p>
        </w:tc>
        <w:tc>
          <w:tcPr>
            <w:tcW w:w="1681"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98" w:hRule="atLeast"/>
        </w:trPr>
        <w:tc>
          <w:tcPr>
            <w:tcW w:w="545"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eastAsiaTheme="minorEastAsia" w:cstheme="minorEastAsia"/>
                <w:color w:val="auto"/>
                <w:kern w:val="0"/>
                <w:sz w:val="21"/>
                <w:szCs w:val="21"/>
              </w:rPr>
              <w:t>4</w:t>
            </w:r>
          </w:p>
        </w:tc>
        <w:tc>
          <w:tcPr>
            <w:tcW w:w="4088"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南昌市（县）职业健康副局长</w:t>
            </w:r>
          </w:p>
        </w:tc>
        <w:tc>
          <w:tcPr>
            <w:tcW w:w="1031"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卢瑾萍</w:t>
            </w:r>
          </w:p>
        </w:tc>
        <w:tc>
          <w:tcPr>
            <w:tcW w:w="2233"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18079133835</w:t>
            </w:r>
          </w:p>
        </w:tc>
        <w:tc>
          <w:tcPr>
            <w:tcW w:w="1681"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98" w:hRule="atLeast"/>
        </w:trPr>
        <w:tc>
          <w:tcPr>
            <w:tcW w:w="545"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eastAsiaTheme="minorEastAsia" w:cstheme="minorEastAsia"/>
                <w:color w:val="auto"/>
                <w:kern w:val="0"/>
                <w:sz w:val="21"/>
                <w:szCs w:val="21"/>
              </w:rPr>
              <w:t>5</w:t>
            </w:r>
          </w:p>
        </w:tc>
        <w:tc>
          <w:tcPr>
            <w:tcW w:w="4088"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南昌市（县）安监局办公室</w:t>
            </w:r>
          </w:p>
        </w:tc>
        <w:tc>
          <w:tcPr>
            <w:tcW w:w="1031"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c>
          <w:tcPr>
            <w:tcW w:w="2233"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13732935436/83986158</w:t>
            </w:r>
          </w:p>
        </w:tc>
        <w:tc>
          <w:tcPr>
            <w:tcW w:w="1681"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98" w:hRule="atLeast"/>
        </w:trPr>
        <w:tc>
          <w:tcPr>
            <w:tcW w:w="545"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eastAsiaTheme="minorEastAsia" w:cstheme="minorEastAsia"/>
                <w:color w:val="auto"/>
                <w:kern w:val="0"/>
                <w:sz w:val="21"/>
                <w:szCs w:val="21"/>
              </w:rPr>
              <w:t>6</w:t>
            </w:r>
          </w:p>
        </w:tc>
        <w:tc>
          <w:tcPr>
            <w:tcW w:w="4088"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南昌市（县）安监局执法大队长</w:t>
            </w:r>
          </w:p>
        </w:tc>
        <w:tc>
          <w:tcPr>
            <w:tcW w:w="1031"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c>
          <w:tcPr>
            <w:tcW w:w="2233"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83839641</w:t>
            </w:r>
          </w:p>
        </w:tc>
        <w:tc>
          <w:tcPr>
            <w:tcW w:w="1681"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98" w:hRule="atLeast"/>
        </w:trPr>
        <w:tc>
          <w:tcPr>
            <w:tcW w:w="545"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rPr>
            </w:pPr>
            <w:r>
              <w:rPr>
                <w:rStyle w:val="36"/>
                <w:rFonts w:hint="eastAsia" w:asciiTheme="minorEastAsia" w:hAnsiTheme="minorEastAsia" w:eastAsiaTheme="minorEastAsia" w:cstheme="minorEastAsia"/>
                <w:color w:val="auto"/>
                <w:kern w:val="0"/>
                <w:sz w:val="21"/>
                <w:szCs w:val="21"/>
              </w:rPr>
              <w:t>7</w:t>
            </w:r>
          </w:p>
        </w:tc>
        <w:tc>
          <w:tcPr>
            <w:tcW w:w="4088" w:type="dxa"/>
            <w:tcBorders>
              <w:tl2br w:val="nil"/>
              <w:tr2bl w:val="nil"/>
            </w:tcBorders>
            <w:vAlign w:val="bottom"/>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南昌市（县）消防大队大队长</w:t>
            </w:r>
          </w:p>
        </w:tc>
        <w:tc>
          <w:tcPr>
            <w:tcW w:w="1031" w:type="dxa"/>
            <w:tcBorders>
              <w:tl2br w:val="nil"/>
              <w:tr2bl w:val="nil"/>
            </w:tcBorders>
            <w:vAlign w:val="bottom"/>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陈峰</w:t>
            </w:r>
          </w:p>
        </w:tc>
        <w:tc>
          <w:tcPr>
            <w:tcW w:w="2233" w:type="dxa"/>
            <w:tcBorders>
              <w:tl2br w:val="nil"/>
              <w:tr2bl w:val="nil"/>
            </w:tcBorders>
            <w:vAlign w:val="bottom"/>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18970016631</w:t>
            </w:r>
          </w:p>
        </w:tc>
        <w:tc>
          <w:tcPr>
            <w:tcW w:w="1681"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98" w:hRule="atLeast"/>
        </w:trPr>
        <w:tc>
          <w:tcPr>
            <w:tcW w:w="545"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FF0000"/>
                <w:kern w:val="0"/>
                <w:sz w:val="21"/>
                <w:szCs w:val="21"/>
                <w:lang w:val="en-US" w:eastAsia="zh-CN"/>
              </w:rPr>
            </w:pPr>
            <w:r>
              <w:rPr>
                <w:rStyle w:val="36"/>
                <w:rFonts w:hint="eastAsia" w:asciiTheme="minorEastAsia" w:hAnsiTheme="minorEastAsia" w:cstheme="minorEastAsia"/>
                <w:color w:val="FF0000"/>
                <w:kern w:val="0"/>
                <w:sz w:val="21"/>
                <w:szCs w:val="21"/>
                <w:lang w:val="en-US" w:eastAsia="zh-CN"/>
              </w:rPr>
              <w:t>8</w:t>
            </w:r>
          </w:p>
        </w:tc>
        <w:tc>
          <w:tcPr>
            <w:tcW w:w="4088" w:type="dxa"/>
            <w:tcBorders>
              <w:tl2br w:val="nil"/>
              <w:tr2bl w:val="nil"/>
            </w:tcBorders>
            <w:vAlign w:val="bottom"/>
          </w:tcPr>
          <w:p>
            <w:pPr>
              <w:ind w:firstLineChars="0"/>
              <w:jc w:val="center"/>
              <w:rPr>
                <w:rStyle w:val="36"/>
                <w:rFonts w:hint="default" w:asciiTheme="minorEastAsia" w:hAnsiTheme="minorEastAsia" w:eastAsiaTheme="minorEastAsia" w:cstheme="minorEastAsia"/>
                <w:color w:val="FF0000"/>
                <w:sz w:val="21"/>
                <w:szCs w:val="21"/>
                <w:lang w:val="en-US" w:eastAsia="zh-CN"/>
              </w:rPr>
            </w:pPr>
            <w:r>
              <w:rPr>
                <w:rStyle w:val="36"/>
                <w:rFonts w:hint="eastAsia" w:asciiTheme="minorEastAsia" w:hAnsiTheme="minorEastAsia" w:cstheme="minorEastAsia"/>
                <w:color w:val="FF0000"/>
                <w:sz w:val="21"/>
                <w:szCs w:val="21"/>
                <w:lang w:val="en-US" w:eastAsia="zh-CN"/>
              </w:rPr>
              <w:t>南昌市新建区人民政府办公室</w:t>
            </w:r>
          </w:p>
        </w:tc>
        <w:tc>
          <w:tcPr>
            <w:tcW w:w="1031" w:type="dxa"/>
            <w:tcBorders>
              <w:tl2br w:val="nil"/>
              <w:tr2bl w:val="nil"/>
            </w:tcBorders>
            <w:vAlign w:val="bottom"/>
          </w:tcPr>
          <w:p>
            <w:pPr>
              <w:ind w:firstLineChars="0"/>
              <w:jc w:val="center"/>
              <w:rPr>
                <w:rStyle w:val="36"/>
                <w:rFonts w:hint="default" w:asciiTheme="minorEastAsia" w:hAnsiTheme="minorEastAsia" w:eastAsiaTheme="minorEastAsia" w:cstheme="minorEastAsia"/>
                <w:color w:val="FF0000"/>
                <w:sz w:val="21"/>
                <w:szCs w:val="21"/>
                <w:lang w:val="en-US" w:eastAsia="zh-CN"/>
              </w:rPr>
            </w:pPr>
            <w:r>
              <w:rPr>
                <w:rStyle w:val="36"/>
                <w:rFonts w:hint="eastAsia" w:asciiTheme="minorEastAsia" w:hAnsiTheme="minorEastAsia" w:cstheme="minorEastAsia"/>
                <w:color w:val="FF0000"/>
                <w:sz w:val="21"/>
                <w:szCs w:val="21"/>
                <w:lang w:val="en-US" w:eastAsia="zh-CN"/>
              </w:rPr>
              <w:t>/</w:t>
            </w:r>
          </w:p>
        </w:tc>
        <w:tc>
          <w:tcPr>
            <w:tcW w:w="2233" w:type="dxa"/>
            <w:tcBorders>
              <w:tl2br w:val="nil"/>
              <w:tr2bl w:val="nil"/>
            </w:tcBorders>
            <w:vAlign w:val="bottom"/>
          </w:tcPr>
          <w:p>
            <w:pPr>
              <w:ind w:firstLineChars="0"/>
              <w:jc w:val="center"/>
              <w:rPr>
                <w:rStyle w:val="36"/>
                <w:rFonts w:hint="default" w:ascii="Times New Roman" w:hAnsi="Times New Roman" w:cs="Times New Roman" w:eastAsiaTheme="minorEastAsia"/>
                <w:color w:val="FF0000"/>
                <w:sz w:val="21"/>
                <w:szCs w:val="21"/>
              </w:rPr>
            </w:pPr>
            <w:r>
              <w:rPr>
                <w:rFonts w:ascii="Arial" w:hAnsi="Arial" w:eastAsia="宋体" w:cs="Arial"/>
                <w:i w:val="0"/>
                <w:caps w:val="0"/>
                <w:color w:val="FF0000"/>
                <w:spacing w:val="0"/>
                <w:sz w:val="15"/>
                <w:szCs w:val="15"/>
                <w:shd w:val="clear" w:fill="FFFFFF"/>
              </w:rPr>
              <w:t>:</w:t>
            </w:r>
            <w:r>
              <w:rPr>
                <w:rStyle w:val="36"/>
                <w:rFonts w:hint="default" w:ascii="Times New Roman" w:hAnsi="Times New Roman" w:cs="Times New Roman" w:eastAsiaTheme="minorEastAsia"/>
                <w:color w:val="FF0000"/>
                <w:sz w:val="21"/>
                <w:szCs w:val="21"/>
              </w:rPr>
              <w:t>0791-83702579</w:t>
            </w:r>
          </w:p>
        </w:tc>
        <w:tc>
          <w:tcPr>
            <w:tcW w:w="1681"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FF0000"/>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98" w:hRule="atLeast"/>
        </w:trPr>
        <w:tc>
          <w:tcPr>
            <w:tcW w:w="545"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lang w:eastAsia="zh-CN"/>
              </w:rPr>
            </w:pPr>
            <w:r>
              <w:rPr>
                <w:rStyle w:val="36"/>
                <w:rFonts w:hint="eastAsia" w:asciiTheme="minorEastAsia" w:hAnsiTheme="minorEastAsia" w:cstheme="minorEastAsia"/>
                <w:color w:val="auto"/>
                <w:kern w:val="0"/>
                <w:sz w:val="21"/>
                <w:szCs w:val="21"/>
                <w:lang w:val="en-US" w:eastAsia="zh-CN"/>
              </w:rPr>
              <w:t>9</w:t>
            </w:r>
          </w:p>
        </w:tc>
        <w:tc>
          <w:tcPr>
            <w:tcW w:w="4088"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消防火灾报警电话</w:t>
            </w:r>
          </w:p>
        </w:tc>
        <w:tc>
          <w:tcPr>
            <w:tcW w:w="1031"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w:t>
            </w:r>
          </w:p>
        </w:tc>
        <w:tc>
          <w:tcPr>
            <w:tcW w:w="2233"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119</w:t>
            </w:r>
          </w:p>
        </w:tc>
        <w:tc>
          <w:tcPr>
            <w:tcW w:w="1681" w:type="dxa"/>
            <w:tcBorders>
              <w:tl2br w:val="nil"/>
              <w:tr2bl w:val="nil"/>
            </w:tcBorders>
            <w:vAlign w:val="bottom"/>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　</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98" w:hRule="atLeast"/>
        </w:trPr>
        <w:tc>
          <w:tcPr>
            <w:tcW w:w="545" w:type="dxa"/>
            <w:tcBorders>
              <w:tl2br w:val="nil"/>
              <w:tr2bl w:val="nil"/>
            </w:tcBorders>
            <w:vAlign w:val="center"/>
          </w:tcPr>
          <w:p>
            <w:pPr>
              <w:ind w:firstLineChars="0"/>
              <w:jc w:val="center"/>
              <w:rPr>
                <w:rStyle w:val="36"/>
                <w:rFonts w:hint="default" w:asciiTheme="minorEastAsia" w:hAnsiTheme="minorEastAsia" w:eastAsiaTheme="minorEastAsia" w:cstheme="minorEastAsia"/>
                <w:color w:val="auto"/>
                <w:kern w:val="0"/>
                <w:sz w:val="21"/>
                <w:szCs w:val="21"/>
                <w:lang w:val="en-US" w:eastAsia="zh-CN"/>
              </w:rPr>
            </w:pPr>
            <w:r>
              <w:rPr>
                <w:rStyle w:val="36"/>
                <w:rFonts w:hint="eastAsia" w:asciiTheme="minorEastAsia" w:hAnsiTheme="minorEastAsia" w:cstheme="minorEastAsia"/>
                <w:color w:val="auto"/>
                <w:kern w:val="0"/>
                <w:sz w:val="21"/>
                <w:szCs w:val="21"/>
                <w:lang w:val="en-US" w:eastAsia="zh-CN"/>
              </w:rPr>
              <w:t>10</w:t>
            </w:r>
          </w:p>
        </w:tc>
        <w:tc>
          <w:tcPr>
            <w:tcW w:w="4088"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医疗急救电话</w:t>
            </w:r>
          </w:p>
        </w:tc>
        <w:tc>
          <w:tcPr>
            <w:tcW w:w="1031"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w:t>
            </w:r>
          </w:p>
        </w:tc>
        <w:tc>
          <w:tcPr>
            <w:tcW w:w="2233"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120</w:t>
            </w:r>
          </w:p>
        </w:tc>
        <w:tc>
          <w:tcPr>
            <w:tcW w:w="1681"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　</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415" w:hRule="atLeast"/>
        </w:trPr>
        <w:tc>
          <w:tcPr>
            <w:tcW w:w="545"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kern w:val="0"/>
                <w:sz w:val="21"/>
                <w:szCs w:val="21"/>
                <w:lang w:eastAsia="zh-CN"/>
              </w:rPr>
            </w:pPr>
            <w:r>
              <w:rPr>
                <w:rStyle w:val="36"/>
                <w:rFonts w:hint="eastAsia" w:asciiTheme="minorEastAsia" w:hAnsiTheme="minorEastAsia" w:eastAsiaTheme="minorEastAsia" w:cstheme="minorEastAsia"/>
                <w:color w:val="auto"/>
                <w:kern w:val="0"/>
                <w:sz w:val="21"/>
                <w:szCs w:val="21"/>
              </w:rPr>
              <w:t>1</w:t>
            </w:r>
            <w:r>
              <w:rPr>
                <w:rStyle w:val="36"/>
                <w:rFonts w:hint="eastAsia" w:asciiTheme="minorEastAsia" w:hAnsiTheme="minorEastAsia" w:cstheme="minorEastAsia"/>
                <w:color w:val="auto"/>
                <w:kern w:val="0"/>
                <w:sz w:val="21"/>
                <w:szCs w:val="21"/>
                <w:lang w:val="en-US" w:eastAsia="zh-CN"/>
              </w:rPr>
              <w:t>1</w:t>
            </w:r>
          </w:p>
        </w:tc>
        <w:tc>
          <w:tcPr>
            <w:tcW w:w="4088"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公安报警电话</w:t>
            </w:r>
          </w:p>
        </w:tc>
        <w:tc>
          <w:tcPr>
            <w:tcW w:w="1031"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w:t>
            </w:r>
          </w:p>
        </w:tc>
        <w:tc>
          <w:tcPr>
            <w:tcW w:w="2233" w:type="dxa"/>
            <w:tcBorders>
              <w:tl2br w:val="nil"/>
              <w:tr2bl w:val="nil"/>
            </w:tcBorders>
            <w:vAlign w:val="center"/>
          </w:tcPr>
          <w:p>
            <w:pPr>
              <w:ind w:firstLineChars="0"/>
              <w:jc w:val="center"/>
              <w:rPr>
                <w:rStyle w:val="36"/>
                <w:rFonts w:hint="default" w:ascii="Times New Roman" w:hAnsi="Times New Roman" w:cs="Times New Roman" w:eastAsiaTheme="minorEastAsia"/>
                <w:color w:val="auto"/>
                <w:sz w:val="21"/>
                <w:szCs w:val="21"/>
              </w:rPr>
            </w:pPr>
            <w:r>
              <w:rPr>
                <w:rStyle w:val="36"/>
                <w:rFonts w:hint="default" w:ascii="Times New Roman" w:hAnsi="Times New Roman" w:cs="Times New Roman" w:eastAsiaTheme="minorEastAsia"/>
                <w:color w:val="auto"/>
                <w:sz w:val="21"/>
                <w:szCs w:val="21"/>
              </w:rPr>
              <w:t>110</w:t>
            </w:r>
          </w:p>
        </w:tc>
        <w:tc>
          <w:tcPr>
            <w:tcW w:w="1681" w:type="dxa"/>
            <w:tcBorders>
              <w:tl2br w:val="nil"/>
              <w:tr2bl w:val="nil"/>
            </w:tcBorders>
            <w:vAlign w:val="center"/>
          </w:tcPr>
          <w:p>
            <w:pPr>
              <w:ind w:firstLineChars="0"/>
              <w:jc w:val="center"/>
              <w:rPr>
                <w:rStyle w:val="36"/>
                <w:rFonts w:hint="eastAsia" w:asciiTheme="minorEastAsia" w:hAnsiTheme="minorEastAsia" w:eastAsiaTheme="minorEastAsia" w:cstheme="minorEastAsia"/>
                <w:color w:val="auto"/>
                <w:sz w:val="21"/>
                <w:szCs w:val="21"/>
              </w:rPr>
            </w:pPr>
            <w:r>
              <w:rPr>
                <w:rStyle w:val="36"/>
                <w:rFonts w:hint="eastAsia" w:asciiTheme="minorEastAsia" w:hAnsiTheme="minorEastAsia" w:eastAsiaTheme="minorEastAsia" w:cstheme="minorEastAsia"/>
                <w:color w:val="auto"/>
                <w:sz w:val="21"/>
                <w:szCs w:val="21"/>
              </w:rPr>
              <w:t>/　</w:t>
            </w:r>
          </w:p>
        </w:tc>
      </w:tr>
    </w:tbl>
    <w:p>
      <w:pPr>
        <w:pStyle w:val="17"/>
        <w:rPr>
          <w:lang w:val="zh-CN"/>
        </w:rPr>
      </w:pPr>
    </w:p>
    <w:p>
      <w:pPr>
        <w:jc w:val="left"/>
        <w:rPr>
          <w:rFonts w:ascii="Times New Roman" w:hAnsi="Times New Roman" w:cs="Times New Roman"/>
          <w:b/>
          <w:color w:val="000000" w:themeColor="text1"/>
          <w:sz w:val="28"/>
          <w:szCs w:val="20"/>
        </w:rPr>
      </w:pPr>
      <w:r>
        <w:rPr>
          <w:rFonts w:hint="eastAsia" w:ascii="Times New Roman" w:hAnsi="Times New Roman" w:cs="Times New Roman"/>
          <w:b/>
          <w:color w:val="000000" w:themeColor="text1"/>
          <w:sz w:val="28"/>
          <w:szCs w:val="20"/>
        </w:rPr>
        <w:t>周边通讯方式</w:t>
      </w:r>
    </w:p>
    <w:p>
      <w:pPr>
        <w:spacing w:line="50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南昌</w:t>
      </w:r>
      <w:r>
        <w:rPr>
          <w:rFonts w:hint="eastAsia" w:ascii="Times New Roman" w:hAnsi="Times New Roman" w:eastAsia="宋体" w:cs="Times New Roman"/>
          <w:sz w:val="24"/>
          <w:szCs w:val="24"/>
          <w:lang w:val="en-US" w:eastAsia="zh-CN"/>
        </w:rPr>
        <w:t>市（</w:t>
      </w:r>
      <w:r>
        <w:rPr>
          <w:rFonts w:hint="eastAsia" w:ascii="Times New Roman" w:hAnsi="Times New Roman" w:eastAsia="宋体" w:cs="Times New Roman"/>
          <w:sz w:val="24"/>
          <w:szCs w:val="24"/>
        </w:rPr>
        <w:t>县</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rPr>
        <w:t>气象局：0</w:t>
      </w:r>
      <w:r>
        <w:rPr>
          <w:rFonts w:ascii="Times New Roman" w:hAnsi="Times New Roman" w:eastAsia="宋体" w:cs="Times New Roman"/>
          <w:sz w:val="24"/>
          <w:szCs w:val="24"/>
        </w:rPr>
        <w:t>791-85705251</w:t>
      </w:r>
    </w:p>
    <w:p>
      <w:pPr>
        <w:spacing w:line="500" w:lineRule="exac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rPr>
        <w:t>南昌</w:t>
      </w:r>
      <w:r>
        <w:rPr>
          <w:rFonts w:hint="eastAsia" w:ascii="Times New Roman" w:hAnsi="Times New Roman" w:eastAsia="宋体" w:cs="Times New Roman"/>
          <w:sz w:val="24"/>
          <w:szCs w:val="24"/>
          <w:lang w:val="en-US" w:eastAsia="zh-CN"/>
        </w:rPr>
        <w:t>市（</w:t>
      </w:r>
      <w:r>
        <w:rPr>
          <w:rFonts w:hint="eastAsia" w:ascii="Times New Roman" w:hAnsi="Times New Roman" w:eastAsia="宋体" w:cs="Times New Roman"/>
          <w:sz w:val="24"/>
          <w:szCs w:val="24"/>
        </w:rPr>
        <w:t>县</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rPr>
        <w:t>农机局：0</w:t>
      </w:r>
      <w:r>
        <w:rPr>
          <w:rFonts w:ascii="Times New Roman" w:hAnsi="Times New Roman" w:eastAsia="宋体" w:cs="Times New Roman"/>
          <w:sz w:val="24"/>
          <w:szCs w:val="24"/>
        </w:rPr>
        <w:t>791-85712146</w:t>
      </w:r>
    </w:p>
    <w:p>
      <w:pPr>
        <w:spacing w:line="500" w:lineRule="exact"/>
        <w:ind w:firstLine="480" w:firstLineChars="200"/>
        <w:rPr>
          <w:rFonts w:cs="仿宋" w:asciiTheme="minorEastAsia" w:hAnsiTheme="minorEastAsia"/>
          <w:sz w:val="28"/>
          <w:lang w:val="zh-CN"/>
        </w:rPr>
      </w:pPr>
      <w:r>
        <w:rPr>
          <w:rFonts w:hint="eastAsia" w:ascii="Times New Roman" w:hAnsi="Times New Roman" w:eastAsia="宋体" w:cs="Times New Roman"/>
          <w:sz w:val="24"/>
          <w:szCs w:val="24"/>
        </w:rPr>
        <w:t>南昌</w:t>
      </w:r>
      <w:r>
        <w:rPr>
          <w:rFonts w:hint="eastAsia" w:ascii="Times New Roman" w:hAnsi="Times New Roman" w:eastAsia="宋体" w:cs="Times New Roman"/>
          <w:sz w:val="24"/>
          <w:szCs w:val="24"/>
          <w:lang w:val="en-US" w:eastAsia="zh-CN"/>
        </w:rPr>
        <w:t>市（</w:t>
      </w:r>
      <w:r>
        <w:rPr>
          <w:rFonts w:hint="eastAsia" w:ascii="Times New Roman" w:hAnsi="Times New Roman" w:eastAsia="宋体" w:cs="Times New Roman"/>
          <w:sz w:val="24"/>
          <w:szCs w:val="24"/>
        </w:rPr>
        <w:t>县</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rPr>
        <w:t>人民法院：0</w:t>
      </w:r>
      <w:r>
        <w:rPr>
          <w:rFonts w:ascii="Times New Roman" w:hAnsi="Times New Roman" w:eastAsia="宋体" w:cs="Times New Roman"/>
          <w:sz w:val="24"/>
          <w:szCs w:val="24"/>
        </w:rPr>
        <w:t>791-85712702</w:t>
      </w:r>
    </w:p>
    <w:p>
      <w:pPr>
        <w:rPr>
          <w:rFonts w:cs="Times New Roman" w:asciiTheme="minorEastAsia" w:hAnsiTheme="minorEastAsia"/>
          <w:color w:val="000000" w:themeColor="text1"/>
          <w:sz w:val="24"/>
          <w:szCs w:val="24"/>
          <w:lang w:val="zh-CN"/>
        </w:rPr>
      </w:pPr>
      <w:r>
        <w:rPr>
          <w:rFonts w:cs="Times New Roman" w:asciiTheme="minorEastAsia" w:hAnsiTheme="minorEastAsia"/>
          <w:color w:val="000000" w:themeColor="text1"/>
          <w:sz w:val="24"/>
          <w:szCs w:val="24"/>
          <w:lang w:val="zh-CN"/>
        </w:rPr>
        <w:br w:type="page"/>
      </w:r>
    </w:p>
    <w:p>
      <w:pPr>
        <w:keepNext/>
        <w:keepLines/>
        <w:spacing w:beforeLines="150" w:line="360" w:lineRule="auto"/>
        <w:ind w:left="487" w:hanging="487" w:hangingChars="202"/>
        <w:jc w:val="left"/>
        <w:outlineLvl w:val="1"/>
        <w:rPr>
          <w:rFonts w:ascii="Times New Roman" w:hAnsi="Times New Roman" w:cs="Times New Roman"/>
          <w:b/>
          <w:bCs/>
          <w:color w:val="000000" w:themeColor="text1"/>
          <w:kern w:val="0"/>
          <w:sz w:val="24"/>
          <w:szCs w:val="24"/>
        </w:rPr>
      </w:pPr>
      <w:bookmarkStart w:id="1321" w:name="_Toc12598"/>
      <w:bookmarkStart w:id="1322" w:name="_Toc20416"/>
      <w:bookmarkStart w:id="1323" w:name="_Toc17837"/>
      <w:r>
        <w:rPr>
          <w:rFonts w:ascii="Times New Roman" w:hAnsi="Times New Roman" w:cs="Times New Roman"/>
          <w:b/>
          <w:bCs/>
          <w:color w:val="000000" w:themeColor="text1"/>
          <w:sz w:val="24"/>
          <w:szCs w:val="24"/>
        </w:rPr>
        <w:t>附件六: 加油站配备消防器材及应急装备物资</w:t>
      </w:r>
      <w:bookmarkEnd w:id="1321"/>
      <w:bookmarkEnd w:id="1322"/>
      <w:bookmarkEnd w:id="1323"/>
    </w:p>
    <w:p>
      <w:pPr>
        <w:spacing w:beforeAutospacing="1" w:afterAutospacing="1" w:line="360" w:lineRule="auto"/>
        <w:jc w:val="left"/>
        <w:rPr>
          <w:rFonts w:ascii="Times New Roman" w:hAnsi="Times New Roman" w:cs="Times New Roman"/>
          <w:b/>
          <w:color w:val="000000" w:themeColor="text1"/>
          <w:kern w:val="0"/>
          <w:sz w:val="24"/>
          <w:szCs w:val="24"/>
        </w:rPr>
      </w:pPr>
      <w:bookmarkStart w:id="1324" w:name="_Toc2157_WPSOffice_Level1"/>
      <w:bookmarkStart w:id="1325" w:name="_Toc14455_WPSOffice_Level1"/>
      <w:bookmarkStart w:id="1326" w:name="_Toc17580_WPSOffice_Level1"/>
      <w:bookmarkStart w:id="1327" w:name="_Toc32160_WPSOffice_Level1"/>
      <w:bookmarkStart w:id="1328" w:name="_Toc5742_WPSOffice_Level1"/>
      <w:bookmarkStart w:id="1329" w:name="_Toc17534_WPSOffice_Level1"/>
      <w:r>
        <w:rPr>
          <w:rFonts w:ascii="Times New Roman" w:hAnsi="Times New Roman" w:cs="Times New Roman"/>
          <w:b/>
          <w:color w:val="000000" w:themeColor="text1"/>
          <w:kern w:val="0"/>
          <w:sz w:val="24"/>
          <w:szCs w:val="24"/>
        </w:rPr>
        <w:t>一、配置的主要消防器材</w:t>
      </w:r>
      <w:bookmarkEnd w:id="1324"/>
      <w:bookmarkEnd w:id="1325"/>
      <w:bookmarkEnd w:id="1326"/>
      <w:bookmarkEnd w:id="1327"/>
      <w:bookmarkEnd w:id="1328"/>
      <w:bookmarkEnd w:id="1329"/>
    </w:p>
    <w:tbl>
      <w:tblPr>
        <w:tblStyle w:val="14"/>
        <w:tblW w:w="8946" w:type="dxa"/>
        <w:jc w:val="center"/>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Layout w:type="fixed"/>
        <w:tblCellMar>
          <w:top w:w="0" w:type="dxa"/>
          <w:left w:w="108" w:type="dxa"/>
          <w:bottom w:w="0" w:type="dxa"/>
          <w:right w:w="108" w:type="dxa"/>
        </w:tblCellMar>
      </w:tblPr>
      <w:tblGrid>
        <w:gridCol w:w="761"/>
        <w:gridCol w:w="2348"/>
        <w:gridCol w:w="1644"/>
        <w:gridCol w:w="1467"/>
        <w:gridCol w:w="1476"/>
        <w:gridCol w:w="1250"/>
      </w:tblGrid>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563" w:hRule="atLeast"/>
          <w:jc w:val="center"/>
        </w:trPr>
        <w:tc>
          <w:tcPr>
            <w:tcW w:w="761" w:type="dxa"/>
            <w:tcBorders>
              <w:tl2br w:val="nil"/>
              <w:tr2bl w:val="nil"/>
            </w:tcBorders>
          </w:tcPr>
          <w:p>
            <w:pPr>
              <w:spacing w:line="360" w:lineRule="auto"/>
              <w:jc w:val="center"/>
              <w:rPr>
                <w:rFonts w:ascii="Times New Roman" w:hAnsi="Times New Roman" w:cs="Times New Roman"/>
                <w:sz w:val="24"/>
                <w:szCs w:val="24"/>
              </w:rPr>
            </w:pPr>
            <w:bookmarkStart w:id="1330" w:name="_Toc19919_WPSOffice_Level1"/>
            <w:bookmarkStart w:id="1331" w:name="_Toc15856_WPSOffice_Level1"/>
            <w:bookmarkStart w:id="1332" w:name="_Toc17283_WPSOffice_Level1"/>
            <w:bookmarkStart w:id="1333" w:name="_Toc23861_WPSOffice_Level1"/>
            <w:bookmarkStart w:id="1334" w:name="_Toc23303_WPSOffice_Level1"/>
            <w:bookmarkStart w:id="1335" w:name="_Toc10140_WPSOffice_Level1"/>
            <w:r>
              <w:rPr>
                <w:rFonts w:ascii="Times New Roman" w:hAnsi="Times New Roman" w:cs="Times New Roman"/>
                <w:sz w:val="24"/>
                <w:szCs w:val="24"/>
              </w:rPr>
              <w:t>序号</w:t>
            </w:r>
          </w:p>
        </w:tc>
        <w:tc>
          <w:tcPr>
            <w:tcW w:w="2348" w:type="dxa"/>
            <w:tcBorders>
              <w:tl2br w:val="nil"/>
              <w:tr2bl w:val="nil"/>
            </w:tcBorders>
          </w:tcPr>
          <w:p>
            <w:pPr>
              <w:spacing w:line="360" w:lineRule="auto"/>
              <w:jc w:val="center"/>
              <w:rPr>
                <w:rFonts w:ascii="Times New Roman" w:hAnsi="Times New Roman" w:cs="Times New Roman"/>
                <w:sz w:val="24"/>
                <w:szCs w:val="24"/>
              </w:rPr>
            </w:pPr>
            <w:r>
              <w:rPr>
                <w:rFonts w:ascii="Times New Roman" w:hAnsi="Times New Roman" w:cs="Times New Roman"/>
                <w:sz w:val="24"/>
                <w:szCs w:val="24"/>
              </w:rPr>
              <w:t>名称</w:t>
            </w:r>
          </w:p>
        </w:tc>
        <w:tc>
          <w:tcPr>
            <w:tcW w:w="1644" w:type="dxa"/>
            <w:tcBorders>
              <w:tl2br w:val="nil"/>
              <w:tr2bl w:val="nil"/>
            </w:tcBorders>
          </w:tcPr>
          <w:p>
            <w:pPr>
              <w:spacing w:line="360" w:lineRule="auto"/>
              <w:jc w:val="center"/>
              <w:rPr>
                <w:rFonts w:ascii="Times New Roman" w:hAnsi="Times New Roman" w:cs="Times New Roman"/>
                <w:sz w:val="24"/>
                <w:szCs w:val="24"/>
              </w:rPr>
            </w:pPr>
            <w:r>
              <w:rPr>
                <w:rFonts w:ascii="Times New Roman" w:hAnsi="Times New Roman" w:cs="Times New Roman"/>
                <w:sz w:val="24"/>
                <w:szCs w:val="24"/>
              </w:rPr>
              <w:t>规格</w:t>
            </w:r>
          </w:p>
        </w:tc>
        <w:tc>
          <w:tcPr>
            <w:tcW w:w="1467" w:type="dxa"/>
            <w:tcBorders>
              <w:tl2br w:val="nil"/>
              <w:tr2bl w:val="nil"/>
            </w:tcBorders>
          </w:tcPr>
          <w:p>
            <w:pPr>
              <w:spacing w:line="360" w:lineRule="auto"/>
              <w:jc w:val="center"/>
              <w:rPr>
                <w:rFonts w:ascii="Times New Roman" w:hAnsi="Times New Roman" w:cs="Times New Roman"/>
                <w:sz w:val="24"/>
                <w:szCs w:val="24"/>
              </w:rPr>
            </w:pPr>
            <w:r>
              <w:rPr>
                <w:rFonts w:ascii="Times New Roman" w:hAnsi="Times New Roman" w:cs="Times New Roman"/>
                <w:sz w:val="24"/>
                <w:szCs w:val="24"/>
              </w:rPr>
              <w:t>单位</w:t>
            </w:r>
          </w:p>
        </w:tc>
        <w:tc>
          <w:tcPr>
            <w:tcW w:w="1476" w:type="dxa"/>
            <w:tcBorders>
              <w:tl2br w:val="nil"/>
              <w:tr2bl w:val="nil"/>
            </w:tcBorders>
          </w:tcPr>
          <w:p>
            <w:pPr>
              <w:spacing w:line="360" w:lineRule="auto"/>
              <w:jc w:val="center"/>
              <w:rPr>
                <w:rFonts w:ascii="Times New Roman" w:hAnsi="Times New Roman" w:cs="Times New Roman"/>
                <w:sz w:val="24"/>
                <w:szCs w:val="24"/>
              </w:rPr>
            </w:pPr>
            <w:r>
              <w:rPr>
                <w:rFonts w:ascii="Times New Roman" w:hAnsi="Times New Roman" w:cs="Times New Roman"/>
                <w:sz w:val="24"/>
                <w:szCs w:val="24"/>
              </w:rPr>
              <w:t>数量</w:t>
            </w:r>
          </w:p>
        </w:tc>
        <w:tc>
          <w:tcPr>
            <w:tcW w:w="1250" w:type="dxa"/>
            <w:tcBorders>
              <w:tl2br w:val="nil"/>
              <w:tr2bl w:val="nil"/>
            </w:tcBorders>
            <w:vAlign w:val="center"/>
          </w:tcPr>
          <w:p>
            <w:pPr>
              <w:spacing w:line="360" w:lineRule="auto"/>
              <w:jc w:val="center"/>
              <w:rPr>
                <w:rFonts w:ascii="Times New Roman" w:hAnsi="Times New Roman" w:cs="Times New Roman"/>
                <w:sz w:val="24"/>
                <w:szCs w:val="24"/>
              </w:rPr>
            </w:pPr>
            <w:r>
              <w:rPr>
                <w:rFonts w:ascii="Times New Roman" w:hAnsi="Times New Roman" w:cs="Times New Roman"/>
                <w:sz w:val="24"/>
                <w:szCs w:val="24"/>
              </w:rPr>
              <w:t>是否有效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563" w:hRule="atLeast"/>
          <w:jc w:val="center"/>
        </w:trPr>
        <w:tc>
          <w:tcPr>
            <w:tcW w:w="761" w:type="dxa"/>
            <w:tcBorders>
              <w:tl2br w:val="nil"/>
              <w:tr2bl w:val="nil"/>
            </w:tcBorders>
          </w:tcPr>
          <w:p>
            <w:pPr>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348" w:type="dxa"/>
            <w:tcBorders>
              <w:tl2br w:val="nil"/>
              <w:tr2bl w:val="nil"/>
            </w:tcBorders>
          </w:tcPr>
          <w:p>
            <w:pPr>
              <w:spacing w:line="360" w:lineRule="auto"/>
              <w:jc w:val="center"/>
              <w:rPr>
                <w:rFonts w:ascii="Times New Roman" w:hAnsi="Times New Roman" w:cs="Times New Roman"/>
                <w:sz w:val="24"/>
                <w:szCs w:val="24"/>
              </w:rPr>
            </w:pPr>
            <w:r>
              <w:rPr>
                <w:rFonts w:ascii="Times New Roman" w:hAnsi="Times New Roman" w:cs="Times New Roman"/>
                <w:sz w:val="24"/>
                <w:szCs w:val="24"/>
              </w:rPr>
              <w:t>推车式干粉灭火器</w:t>
            </w:r>
          </w:p>
        </w:tc>
        <w:tc>
          <w:tcPr>
            <w:tcW w:w="1644" w:type="dxa"/>
            <w:tcBorders>
              <w:tl2br w:val="nil"/>
              <w:tr2bl w:val="nil"/>
            </w:tcBorders>
          </w:tcPr>
          <w:p>
            <w:pPr>
              <w:spacing w:line="360" w:lineRule="auto"/>
              <w:jc w:val="center"/>
              <w:rPr>
                <w:rFonts w:hint="default" w:ascii="Times New Roman" w:hAnsi="Times New Roman" w:cs="Times New Roman" w:eastAsiaTheme="minorEastAsia"/>
                <w:sz w:val="24"/>
                <w:szCs w:val="24"/>
                <w:lang w:val="en-US" w:eastAsia="zh-CN"/>
              </w:rPr>
            </w:pPr>
            <w:r>
              <w:rPr>
                <w:rFonts w:hint="eastAsia" w:ascii="Times New Roman" w:hAnsi="Times New Roman" w:cs="Times New Roman"/>
                <w:sz w:val="24"/>
                <w:szCs w:val="24"/>
                <w:lang w:val="en-US" w:eastAsia="zh-CN"/>
              </w:rPr>
              <w:t>/</w:t>
            </w:r>
          </w:p>
        </w:tc>
        <w:tc>
          <w:tcPr>
            <w:tcW w:w="1467" w:type="dxa"/>
            <w:tcBorders>
              <w:tl2br w:val="nil"/>
              <w:tr2bl w:val="nil"/>
            </w:tcBorders>
          </w:tcPr>
          <w:p>
            <w:pPr>
              <w:spacing w:line="360" w:lineRule="auto"/>
              <w:jc w:val="center"/>
              <w:rPr>
                <w:rFonts w:ascii="Times New Roman" w:hAnsi="Times New Roman" w:cs="Times New Roman"/>
                <w:sz w:val="24"/>
                <w:szCs w:val="24"/>
              </w:rPr>
            </w:pPr>
            <w:r>
              <w:rPr>
                <w:rFonts w:ascii="Times New Roman" w:hAnsi="Times New Roman" w:cs="Times New Roman"/>
                <w:sz w:val="24"/>
                <w:szCs w:val="24"/>
              </w:rPr>
              <w:t>台</w:t>
            </w:r>
          </w:p>
        </w:tc>
        <w:tc>
          <w:tcPr>
            <w:tcW w:w="1476" w:type="dxa"/>
            <w:tcBorders>
              <w:tl2br w:val="nil"/>
              <w:tr2bl w:val="nil"/>
            </w:tcBorders>
          </w:tcPr>
          <w:p>
            <w:pPr>
              <w:spacing w:line="360" w:lineRule="auto"/>
              <w:jc w:val="center"/>
              <w:rPr>
                <w:rFonts w:hint="eastAsia" w:ascii="Times New Roman" w:hAnsi="Times New Roman" w:cs="Times New Roman" w:eastAsiaTheme="minorEastAsia"/>
                <w:sz w:val="21"/>
                <w:szCs w:val="21"/>
                <w:lang w:eastAsia="zh-CN"/>
              </w:rPr>
            </w:pPr>
            <w:r>
              <w:rPr>
                <w:rFonts w:hint="eastAsia" w:ascii="Times New Roman" w:hAnsi="Times New Roman" w:cs="Times New Roman"/>
                <w:sz w:val="21"/>
                <w:szCs w:val="21"/>
                <w:lang w:val="en-US" w:eastAsia="zh-CN"/>
              </w:rPr>
              <w:t>2</w:t>
            </w:r>
          </w:p>
        </w:tc>
        <w:tc>
          <w:tcPr>
            <w:tcW w:w="1250" w:type="dxa"/>
            <w:tcBorders>
              <w:tl2br w:val="nil"/>
              <w:tr2bl w:val="nil"/>
            </w:tcBorders>
            <w:vAlign w:val="center"/>
          </w:tcPr>
          <w:p>
            <w:pPr>
              <w:spacing w:line="360" w:lineRule="auto"/>
              <w:jc w:val="center"/>
              <w:rPr>
                <w:rFonts w:ascii="Times New Roman" w:hAnsi="Times New Roman" w:cs="Times New Roman"/>
                <w:sz w:val="24"/>
                <w:szCs w:val="24"/>
              </w:rPr>
            </w:pPr>
            <w:r>
              <w:rPr>
                <w:rFonts w:ascii="Times New Roman" w:hAnsi="Times New Roman" w:cs="Times New Roman"/>
                <w:sz w:val="24"/>
                <w:szCs w:val="24"/>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563" w:hRule="atLeast"/>
          <w:jc w:val="center"/>
        </w:trPr>
        <w:tc>
          <w:tcPr>
            <w:tcW w:w="761" w:type="dxa"/>
            <w:tcBorders>
              <w:tl2br w:val="nil"/>
              <w:tr2bl w:val="nil"/>
            </w:tcBorders>
          </w:tcPr>
          <w:p>
            <w:pPr>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348" w:type="dxa"/>
            <w:tcBorders>
              <w:tl2br w:val="nil"/>
              <w:tr2bl w:val="nil"/>
            </w:tcBorders>
          </w:tcPr>
          <w:p>
            <w:pPr>
              <w:spacing w:line="360" w:lineRule="auto"/>
              <w:jc w:val="center"/>
              <w:rPr>
                <w:rFonts w:ascii="Times New Roman" w:hAnsi="Times New Roman" w:cs="Times New Roman"/>
                <w:sz w:val="24"/>
                <w:szCs w:val="24"/>
              </w:rPr>
            </w:pPr>
            <w:r>
              <w:rPr>
                <w:rFonts w:ascii="Times New Roman" w:hAnsi="Times New Roman" w:cs="Times New Roman"/>
                <w:sz w:val="24"/>
                <w:szCs w:val="24"/>
              </w:rPr>
              <w:t>手提式</w:t>
            </w:r>
            <w:r>
              <w:rPr>
                <w:rFonts w:hint="eastAsia" w:ascii="Times New Roman" w:hAnsi="Times New Roman" w:cs="Times New Roman"/>
                <w:sz w:val="24"/>
                <w:szCs w:val="24"/>
                <w:lang w:val="en-US" w:eastAsia="zh-CN"/>
              </w:rPr>
              <w:t>干粉</w:t>
            </w:r>
            <w:r>
              <w:rPr>
                <w:rFonts w:ascii="Times New Roman" w:hAnsi="Times New Roman" w:cs="Times New Roman"/>
                <w:sz w:val="24"/>
                <w:szCs w:val="24"/>
              </w:rPr>
              <w:t>灭火器</w:t>
            </w:r>
          </w:p>
        </w:tc>
        <w:tc>
          <w:tcPr>
            <w:tcW w:w="1644" w:type="dxa"/>
            <w:tcBorders>
              <w:tl2br w:val="nil"/>
              <w:tr2bl w:val="nil"/>
            </w:tcBorders>
          </w:tcPr>
          <w:p>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67" w:type="dxa"/>
            <w:tcBorders>
              <w:tl2br w:val="nil"/>
              <w:tr2bl w:val="nil"/>
            </w:tcBorders>
          </w:tcPr>
          <w:p>
            <w:pPr>
              <w:spacing w:line="360" w:lineRule="auto"/>
              <w:jc w:val="center"/>
              <w:rPr>
                <w:rFonts w:ascii="Times New Roman" w:hAnsi="Times New Roman" w:cs="Times New Roman"/>
                <w:sz w:val="24"/>
                <w:szCs w:val="24"/>
              </w:rPr>
            </w:pPr>
            <w:r>
              <w:rPr>
                <w:rFonts w:ascii="Times New Roman" w:hAnsi="Times New Roman" w:cs="Times New Roman"/>
                <w:sz w:val="24"/>
                <w:szCs w:val="24"/>
              </w:rPr>
              <w:t>具</w:t>
            </w:r>
          </w:p>
        </w:tc>
        <w:tc>
          <w:tcPr>
            <w:tcW w:w="1476" w:type="dxa"/>
            <w:tcBorders>
              <w:tl2br w:val="nil"/>
              <w:tr2bl w:val="nil"/>
            </w:tcBorders>
          </w:tcPr>
          <w:p>
            <w:pPr>
              <w:spacing w:line="360" w:lineRule="auto"/>
              <w:jc w:val="center"/>
              <w:rPr>
                <w:rFonts w:hint="default"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20</w:t>
            </w:r>
          </w:p>
        </w:tc>
        <w:tc>
          <w:tcPr>
            <w:tcW w:w="1250" w:type="dxa"/>
            <w:tcBorders>
              <w:tl2br w:val="nil"/>
              <w:tr2bl w:val="nil"/>
            </w:tcBorders>
            <w:vAlign w:val="center"/>
          </w:tcPr>
          <w:p>
            <w:pPr>
              <w:spacing w:line="360" w:lineRule="auto"/>
              <w:jc w:val="center"/>
              <w:rPr>
                <w:rFonts w:ascii="Times New Roman" w:hAnsi="Times New Roman" w:cs="Times New Roman"/>
                <w:sz w:val="24"/>
                <w:szCs w:val="24"/>
              </w:rPr>
            </w:pPr>
            <w:r>
              <w:rPr>
                <w:rFonts w:ascii="Times New Roman" w:hAnsi="Times New Roman" w:cs="Times New Roman"/>
                <w:sz w:val="24"/>
                <w:szCs w:val="24"/>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563" w:hRule="atLeast"/>
          <w:jc w:val="center"/>
        </w:trPr>
        <w:tc>
          <w:tcPr>
            <w:tcW w:w="761" w:type="dxa"/>
            <w:tcBorders>
              <w:tl2br w:val="nil"/>
              <w:tr2bl w:val="nil"/>
            </w:tcBorders>
          </w:tcPr>
          <w:p>
            <w:pPr>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348" w:type="dxa"/>
            <w:tcBorders>
              <w:tl2br w:val="nil"/>
              <w:tr2bl w:val="nil"/>
            </w:tcBorders>
          </w:tcPr>
          <w:p>
            <w:pPr>
              <w:spacing w:line="360" w:lineRule="auto"/>
              <w:jc w:val="center"/>
              <w:rPr>
                <w:rFonts w:ascii="Times New Roman" w:hAnsi="Times New Roman" w:cs="Times New Roman"/>
                <w:sz w:val="24"/>
                <w:szCs w:val="24"/>
              </w:rPr>
            </w:pPr>
            <w:r>
              <w:rPr>
                <w:rFonts w:ascii="Times New Roman" w:hAnsi="Times New Roman" w:cs="Times New Roman"/>
                <w:sz w:val="24"/>
                <w:szCs w:val="24"/>
              </w:rPr>
              <w:t>消防沙</w:t>
            </w:r>
          </w:p>
        </w:tc>
        <w:tc>
          <w:tcPr>
            <w:tcW w:w="1644" w:type="dxa"/>
            <w:tcBorders>
              <w:tl2br w:val="nil"/>
              <w:tr2bl w:val="nil"/>
            </w:tcBorders>
            <w:vAlign w:val="top"/>
          </w:tcPr>
          <w:p>
            <w:pPr>
              <w:pStyle w:val="24"/>
              <w:spacing w:line="360" w:lineRule="exact"/>
              <w:rPr>
                <w:rFonts w:hint="default" w:ascii="Times New Roman" w:hAnsi="Times New Roman" w:cs="Times New Roman" w:eastAsiaTheme="minorEastAsia"/>
                <w:sz w:val="24"/>
                <w:szCs w:val="24"/>
                <w:lang w:val="en-US" w:eastAsia="zh-CN"/>
              </w:rPr>
            </w:pPr>
            <w:r>
              <w:rPr>
                <w:rFonts w:ascii="Times New Roman" w:hAnsi="Times New Roman" w:cs="Times New Roman"/>
                <w:color w:val="000000" w:themeColor="text1"/>
                <w:spacing w:val="0"/>
              </w:rPr>
              <w:t>5</w:t>
            </w:r>
            <w:r>
              <w:rPr>
                <w:rFonts w:hint="eastAsia" w:ascii="Times New Roman" w:hAnsi="Times New Roman" w:cs="Times New Roman"/>
                <w:color w:val="000000" w:themeColor="text1"/>
                <w:spacing w:val="0"/>
              </w:rPr>
              <w:t>m</w:t>
            </w:r>
            <w:r>
              <w:rPr>
                <w:rFonts w:hint="eastAsia" w:ascii="Times New Roman" w:hAnsi="Times New Roman" w:cs="Times New Roman"/>
                <w:color w:val="000000" w:themeColor="text1"/>
                <w:spacing w:val="0"/>
                <w:vertAlign w:val="superscript"/>
              </w:rPr>
              <w:t>3</w:t>
            </w:r>
          </w:p>
        </w:tc>
        <w:tc>
          <w:tcPr>
            <w:tcW w:w="1467" w:type="dxa"/>
            <w:tcBorders>
              <w:tl2br w:val="nil"/>
              <w:tr2bl w:val="nil"/>
            </w:tcBorders>
            <w:vAlign w:val="top"/>
          </w:tcPr>
          <w:p>
            <w:pPr>
              <w:pStyle w:val="24"/>
              <w:spacing w:line="360" w:lineRule="exact"/>
              <w:rPr>
                <w:rFonts w:ascii="Times New Roman" w:hAnsi="Times New Roman" w:cs="Times New Roman"/>
                <w:sz w:val="24"/>
                <w:szCs w:val="24"/>
              </w:rPr>
            </w:pPr>
            <w:r>
              <w:rPr>
                <w:rFonts w:hint="eastAsia" w:ascii="Times New Roman" w:hAnsi="Times New Roman" w:cs="Times New Roman"/>
                <w:color w:val="000000" w:themeColor="text1"/>
                <w:spacing w:val="0"/>
              </w:rPr>
              <w:t>/</w:t>
            </w:r>
          </w:p>
        </w:tc>
        <w:tc>
          <w:tcPr>
            <w:tcW w:w="1476" w:type="dxa"/>
            <w:tcBorders>
              <w:tl2br w:val="nil"/>
              <w:tr2bl w:val="nil"/>
            </w:tcBorders>
            <w:vAlign w:val="top"/>
          </w:tcPr>
          <w:p>
            <w:pPr>
              <w:pStyle w:val="24"/>
              <w:spacing w:line="360" w:lineRule="exact"/>
              <w:rPr>
                <w:rFonts w:ascii="Times New Roman" w:hAnsi="Times New Roman" w:cs="Times New Roman"/>
                <w:sz w:val="21"/>
                <w:szCs w:val="21"/>
              </w:rPr>
            </w:pPr>
            <w:r>
              <w:rPr>
                <w:rFonts w:hint="eastAsia" w:ascii="Times New Roman" w:hAnsi="Times New Roman" w:cs="Times New Roman"/>
                <w:color w:val="000000" w:themeColor="text1"/>
                <w:spacing w:val="0"/>
                <w:sz w:val="21"/>
                <w:szCs w:val="21"/>
              </w:rPr>
              <w:t>/</w:t>
            </w:r>
          </w:p>
        </w:tc>
        <w:tc>
          <w:tcPr>
            <w:tcW w:w="1250" w:type="dxa"/>
            <w:tcBorders>
              <w:tl2br w:val="nil"/>
              <w:tr2bl w:val="nil"/>
            </w:tcBorders>
            <w:vAlign w:val="center"/>
          </w:tcPr>
          <w:p>
            <w:pPr>
              <w:pStyle w:val="24"/>
              <w:spacing w:line="360" w:lineRule="exact"/>
              <w:rPr>
                <w:rFonts w:hint="eastAsia" w:ascii="Times New Roman" w:hAnsi="Times New Roman" w:cs="Times New Roman" w:eastAsiaTheme="minorEastAsia"/>
                <w:sz w:val="24"/>
                <w:szCs w:val="24"/>
                <w:lang w:eastAsia="zh-CN"/>
              </w:rPr>
            </w:pPr>
            <w:r>
              <w:rPr>
                <w:rFonts w:hint="eastAsia" w:ascii="Times New Roman" w:hAnsi="Times New Roman" w:cs="Times New Roman"/>
                <w:color w:val="000000" w:themeColor="text1"/>
                <w:spacing w:val="0"/>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563" w:hRule="atLeast"/>
          <w:jc w:val="center"/>
        </w:trPr>
        <w:tc>
          <w:tcPr>
            <w:tcW w:w="761" w:type="dxa"/>
            <w:tcBorders>
              <w:tl2br w:val="nil"/>
              <w:tr2bl w:val="nil"/>
            </w:tcBorders>
          </w:tcPr>
          <w:p>
            <w:pPr>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348" w:type="dxa"/>
            <w:tcBorders>
              <w:tl2br w:val="nil"/>
              <w:tr2bl w:val="nil"/>
            </w:tcBorders>
          </w:tcPr>
          <w:p>
            <w:pPr>
              <w:spacing w:line="360" w:lineRule="auto"/>
              <w:jc w:val="center"/>
              <w:rPr>
                <w:rFonts w:ascii="Times New Roman" w:hAnsi="Times New Roman" w:cs="Times New Roman"/>
                <w:sz w:val="24"/>
                <w:szCs w:val="24"/>
              </w:rPr>
            </w:pPr>
            <w:r>
              <w:rPr>
                <w:rFonts w:ascii="Times New Roman" w:hAnsi="Times New Roman" w:cs="Times New Roman"/>
                <w:sz w:val="24"/>
                <w:szCs w:val="24"/>
              </w:rPr>
              <w:t>灭火毯</w:t>
            </w:r>
          </w:p>
        </w:tc>
        <w:tc>
          <w:tcPr>
            <w:tcW w:w="1644" w:type="dxa"/>
            <w:tcBorders>
              <w:tl2br w:val="nil"/>
              <w:tr2bl w:val="nil"/>
            </w:tcBorders>
            <w:vAlign w:val="top"/>
          </w:tcPr>
          <w:p>
            <w:pPr>
              <w:pStyle w:val="24"/>
              <w:spacing w:line="360" w:lineRule="exact"/>
              <w:rPr>
                <w:rFonts w:ascii="Times New Roman" w:hAnsi="Times New Roman" w:cs="Times New Roman"/>
                <w:sz w:val="24"/>
                <w:szCs w:val="24"/>
              </w:rPr>
            </w:pPr>
            <w:r>
              <w:rPr>
                <w:rFonts w:hint="eastAsia" w:ascii="Times New Roman" w:hAnsi="Times New Roman" w:cs="Times New Roman"/>
                <w:color w:val="000000" w:themeColor="text1"/>
                <w:spacing w:val="0"/>
              </w:rPr>
              <w:t>/</w:t>
            </w:r>
          </w:p>
        </w:tc>
        <w:tc>
          <w:tcPr>
            <w:tcW w:w="1467" w:type="dxa"/>
            <w:tcBorders>
              <w:tl2br w:val="nil"/>
              <w:tr2bl w:val="nil"/>
            </w:tcBorders>
            <w:vAlign w:val="top"/>
          </w:tcPr>
          <w:p>
            <w:pPr>
              <w:pStyle w:val="24"/>
              <w:spacing w:line="360" w:lineRule="exact"/>
              <w:rPr>
                <w:rFonts w:ascii="Times New Roman" w:hAnsi="Times New Roman" w:cs="Times New Roman"/>
                <w:sz w:val="24"/>
                <w:szCs w:val="24"/>
              </w:rPr>
            </w:pPr>
            <w:r>
              <w:rPr>
                <w:rFonts w:hint="eastAsia" w:ascii="Times New Roman" w:hAnsi="Times New Roman" w:cs="Times New Roman"/>
                <w:color w:val="000000" w:themeColor="text1"/>
                <w:spacing w:val="0"/>
              </w:rPr>
              <w:t>块</w:t>
            </w:r>
          </w:p>
        </w:tc>
        <w:tc>
          <w:tcPr>
            <w:tcW w:w="1476" w:type="dxa"/>
            <w:tcBorders>
              <w:tl2br w:val="nil"/>
              <w:tr2bl w:val="nil"/>
            </w:tcBorders>
            <w:vAlign w:val="top"/>
          </w:tcPr>
          <w:p>
            <w:pPr>
              <w:pStyle w:val="24"/>
              <w:spacing w:line="360" w:lineRule="exact"/>
              <w:rPr>
                <w:rFonts w:hint="eastAsia" w:ascii="Times New Roman" w:hAnsi="Times New Roman" w:cs="Times New Roman" w:eastAsiaTheme="minorEastAsia"/>
                <w:sz w:val="21"/>
                <w:szCs w:val="21"/>
                <w:lang w:eastAsia="zh-CN"/>
              </w:rPr>
            </w:pPr>
            <w:r>
              <w:rPr>
                <w:rFonts w:ascii="Times New Roman" w:hAnsi="Times New Roman" w:cs="Times New Roman"/>
                <w:color w:val="000000" w:themeColor="text1"/>
                <w:spacing w:val="0"/>
                <w:sz w:val="21"/>
                <w:szCs w:val="21"/>
              </w:rPr>
              <w:t>5</w:t>
            </w:r>
          </w:p>
        </w:tc>
        <w:tc>
          <w:tcPr>
            <w:tcW w:w="1250" w:type="dxa"/>
            <w:tcBorders>
              <w:tl2br w:val="nil"/>
              <w:tr2bl w:val="nil"/>
            </w:tcBorders>
            <w:vAlign w:val="center"/>
          </w:tcPr>
          <w:p>
            <w:pPr>
              <w:pStyle w:val="24"/>
              <w:spacing w:line="360" w:lineRule="exact"/>
              <w:rPr>
                <w:rFonts w:hint="eastAsia" w:ascii="Times New Roman" w:hAnsi="Times New Roman" w:cs="Times New Roman" w:eastAsiaTheme="minorEastAsia"/>
                <w:sz w:val="24"/>
                <w:szCs w:val="24"/>
                <w:lang w:eastAsia="zh-CN"/>
              </w:rPr>
            </w:pPr>
            <w:r>
              <w:rPr>
                <w:rFonts w:hint="eastAsia" w:ascii="Times New Roman" w:hAnsi="Times New Roman" w:cs="Times New Roman"/>
                <w:color w:val="000000" w:themeColor="text1"/>
                <w:spacing w:val="0"/>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563" w:hRule="atLeast"/>
          <w:jc w:val="center"/>
        </w:trPr>
        <w:tc>
          <w:tcPr>
            <w:tcW w:w="761" w:type="dxa"/>
            <w:tcBorders>
              <w:tl2br w:val="nil"/>
              <w:tr2bl w:val="nil"/>
            </w:tcBorders>
          </w:tcPr>
          <w:p>
            <w:pPr>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348" w:type="dxa"/>
            <w:tcBorders>
              <w:tl2br w:val="nil"/>
              <w:tr2bl w:val="nil"/>
            </w:tcBorders>
          </w:tcPr>
          <w:p>
            <w:pPr>
              <w:spacing w:line="360" w:lineRule="auto"/>
              <w:jc w:val="center"/>
              <w:rPr>
                <w:rFonts w:ascii="Times New Roman" w:hAnsi="Times New Roman" w:cs="Times New Roman"/>
                <w:sz w:val="24"/>
                <w:szCs w:val="24"/>
              </w:rPr>
            </w:pPr>
            <w:r>
              <w:rPr>
                <w:rFonts w:ascii="Times New Roman" w:hAnsi="Times New Roman" w:cs="Times New Roman"/>
                <w:sz w:val="24"/>
                <w:szCs w:val="24"/>
              </w:rPr>
              <w:t>吸油毡</w:t>
            </w:r>
          </w:p>
        </w:tc>
        <w:tc>
          <w:tcPr>
            <w:tcW w:w="1644" w:type="dxa"/>
            <w:tcBorders>
              <w:tl2br w:val="nil"/>
              <w:tr2bl w:val="nil"/>
            </w:tcBorders>
            <w:vAlign w:val="top"/>
          </w:tcPr>
          <w:p>
            <w:pPr>
              <w:pStyle w:val="24"/>
              <w:spacing w:line="360" w:lineRule="exact"/>
              <w:rPr>
                <w:rFonts w:ascii="Times New Roman" w:hAnsi="Times New Roman" w:cs="Times New Roman"/>
                <w:sz w:val="24"/>
                <w:szCs w:val="24"/>
              </w:rPr>
            </w:pPr>
            <w:r>
              <w:rPr>
                <w:rFonts w:hint="eastAsia" w:ascii="Times New Roman" w:hAnsi="Times New Roman" w:cs="Times New Roman"/>
                <w:color w:val="000000" w:themeColor="text1"/>
                <w:spacing w:val="0"/>
              </w:rPr>
              <w:t>/</w:t>
            </w:r>
          </w:p>
        </w:tc>
        <w:tc>
          <w:tcPr>
            <w:tcW w:w="1467" w:type="dxa"/>
            <w:tcBorders>
              <w:tl2br w:val="nil"/>
              <w:tr2bl w:val="nil"/>
            </w:tcBorders>
            <w:vAlign w:val="top"/>
          </w:tcPr>
          <w:p>
            <w:pPr>
              <w:pStyle w:val="24"/>
              <w:spacing w:line="360" w:lineRule="exact"/>
              <w:rPr>
                <w:rFonts w:ascii="Times New Roman" w:hAnsi="Times New Roman" w:cs="Times New Roman"/>
                <w:sz w:val="24"/>
                <w:szCs w:val="24"/>
              </w:rPr>
            </w:pPr>
            <w:r>
              <w:rPr>
                <w:rFonts w:hint="eastAsia" w:ascii="Times New Roman" w:hAnsi="Times New Roman" w:cs="Times New Roman"/>
                <w:color w:val="000000" w:themeColor="text1"/>
                <w:spacing w:val="0"/>
              </w:rPr>
              <w:t>块</w:t>
            </w:r>
          </w:p>
        </w:tc>
        <w:tc>
          <w:tcPr>
            <w:tcW w:w="1476" w:type="dxa"/>
            <w:tcBorders>
              <w:tl2br w:val="nil"/>
              <w:tr2bl w:val="nil"/>
            </w:tcBorders>
            <w:vAlign w:val="top"/>
          </w:tcPr>
          <w:p>
            <w:pPr>
              <w:pStyle w:val="24"/>
              <w:spacing w:line="360" w:lineRule="exact"/>
              <w:rPr>
                <w:rFonts w:hint="eastAsia" w:ascii="Times New Roman" w:hAnsi="Times New Roman" w:cs="Times New Roman" w:eastAsiaTheme="minorEastAsia"/>
                <w:sz w:val="21"/>
                <w:szCs w:val="21"/>
                <w:lang w:val="en-US" w:eastAsia="zh-CN"/>
              </w:rPr>
            </w:pPr>
            <w:r>
              <w:rPr>
                <w:rFonts w:hint="eastAsia" w:ascii="Times New Roman" w:hAnsi="Times New Roman" w:cs="Times New Roman"/>
                <w:color w:val="000000" w:themeColor="text1"/>
                <w:spacing w:val="0"/>
                <w:sz w:val="21"/>
                <w:szCs w:val="21"/>
              </w:rPr>
              <w:t>5</w:t>
            </w:r>
          </w:p>
        </w:tc>
        <w:tc>
          <w:tcPr>
            <w:tcW w:w="1250" w:type="dxa"/>
            <w:tcBorders>
              <w:tl2br w:val="nil"/>
              <w:tr2bl w:val="nil"/>
            </w:tcBorders>
            <w:vAlign w:val="center"/>
          </w:tcPr>
          <w:p>
            <w:pPr>
              <w:pStyle w:val="24"/>
              <w:spacing w:line="360" w:lineRule="exact"/>
              <w:rPr>
                <w:rFonts w:hint="eastAsia" w:ascii="Times New Roman" w:hAnsi="Times New Roman" w:cs="Times New Roman" w:eastAsiaTheme="minorEastAsia"/>
                <w:sz w:val="24"/>
                <w:szCs w:val="24"/>
                <w:lang w:eastAsia="zh-CN"/>
              </w:rPr>
            </w:pPr>
            <w:r>
              <w:rPr>
                <w:rFonts w:hint="eastAsia" w:ascii="Times New Roman" w:hAnsi="Times New Roman" w:cs="Times New Roman"/>
                <w:color w:val="000000" w:themeColor="text1"/>
                <w:spacing w:val="0"/>
              </w:rPr>
              <w:t>有效</w:t>
            </w:r>
          </w:p>
        </w:tc>
      </w:tr>
    </w:tbl>
    <w:p>
      <w:pPr>
        <w:spacing w:beforeAutospacing="1" w:afterAutospacing="1" w:line="360" w:lineRule="auto"/>
        <w:jc w:val="left"/>
        <w:rPr>
          <w:rFonts w:ascii="Times New Roman" w:hAnsi="Times New Roman" w:cs="Times New Roman"/>
          <w:b/>
          <w:color w:val="000000" w:themeColor="text1"/>
          <w:kern w:val="0"/>
          <w:sz w:val="24"/>
          <w:szCs w:val="24"/>
        </w:rPr>
      </w:pPr>
      <w:r>
        <w:rPr>
          <w:rFonts w:ascii="Times New Roman" w:hAnsi="Times New Roman" w:cs="Times New Roman"/>
          <w:b/>
          <w:color w:val="000000" w:themeColor="text1"/>
          <w:kern w:val="0"/>
          <w:sz w:val="24"/>
          <w:szCs w:val="24"/>
        </w:rPr>
        <w:t>二、应急物资装备</w:t>
      </w:r>
      <w:bookmarkEnd w:id="1330"/>
      <w:bookmarkEnd w:id="1331"/>
      <w:bookmarkEnd w:id="1332"/>
      <w:bookmarkEnd w:id="1333"/>
      <w:bookmarkEnd w:id="1334"/>
      <w:bookmarkEnd w:id="1335"/>
    </w:p>
    <w:p>
      <w:pPr>
        <w:pStyle w:val="2"/>
        <w:ind w:firstLine="496"/>
        <w:rPr>
          <w:rFonts w:ascii="Times New Roman" w:hAnsi="Times New Roman" w:eastAsiaTheme="minorEastAsia"/>
          <w:color w:val="000000" w:themeColor="text1"/>
          <w:szCs w:val="24"/>
        </w:rPr>
      </w:pPr>
      <w:r>
        <w:rPr>
          <w:rFonts w:ascii="Times New Roman" w:hAnsi="Times New Roman" w:eastAsiaTheme="minorEastAsia"/>
          <w:color w:val="000000" w:themeColor="text1"/>
          <w:szCs w:val="24"/>
        </w:rPr>
        <w:t>根据加油站现有应急物质情况：应适当增加补充防毒面具、安全防护眼镜、覆盖泡沫、担架、移动式潜污泵及塑料软水管、应急药箱、事故应急池等。</w:t>
      </w:r>
    </w:p>
    <w:tbl>
      <w:tblPr>
        <w:tblStyle w:val="14"/>
        <w:tblW w:w="9600" w:type="dxa"/>
        <w:tblInd w:w="423" w:type="dxa"/>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Layout w:type="fixed"/>
        <w:tblCellMar>
          <w:top w:w="0" w:type="dxa"/>
          <w:left w:w="0" w:type="dxa"/>
          <w:bottom w:w="0" w:type="dxa"/>
          <w:right w:w="0" w:type="dxa"/>
        </w:tblCellMar>
      </w:tblPr>
      <w:tblGrid>
        <w:gridCol w:w="552"/>
        <w:gridCol w:w="1224"/>
        <w:gridCol w:w="2400"/>
        <w:gridCol w:w="1829"/>
        <w:gridCol w:w="580"/>
        <w:gridCol w:w="1280"/>
        <w:gridCol w:w="1735"/>
      </w:tblGrid>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622" w:hRule="atLeast"/>
        </w:trPr>
        <w:tc>
          <w:tcPr>
            <w:tcW w:w="552"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b/>
                <w:bCs/>
                <w:color w:val="000000" w:themeColor="text1"/>
                <w:kern w:val="0"/>
                <w:sz w:val="21"/>
                <w:szCs w:val="21"/>
              </w:rPr>
            </w:pPr>
            <w:r>
              <w:rPr>
                <w:rStyle w:val="36"/>
                <w:rFonts w:hint="eastAsia" w:asciiTheme="minorEastAsia" w:hAnsiTheme="minorEastAsia" w:eastAsiaTheme="minorEastAsia" w:cstheme="minorEastAsia"/>
                <w:b/>
                <w:bCs/>
                <w:color w:val="000000" w:themeColor="text1"/>
                <w:kern w:val="0"/>
                <w:sz w:val="21"/>
                <w:szCs w:val="21"/>
              </w:rPr>
              <w:t>序号</w:t>
            </w:r>
          </w:p>
        </w:tc>
        <w:tc>
          <w:tcPr>
            <w:tcW w:w="1224"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b/>
                <w:bCs/>
                <w:color w:val="000000" w:themeColor="text1"/>
                <w:kern w:val="0"/>
                <w:sz w:val="21"/>
                <w:szCs w:val="21"/>
              </w:rPr>
            </w:pPr>
            <w:r>
              <w:rPr>
                <w:rStyle w:val="36"/>
                <w:rFonts w:hint="eastAsia" w:asciiTheme="minorEastAsia" w:hAnsiTheme="minorEastAsia" w:eastAsiaTheme="minorEastAsia" w:cstheme="minorEastAsia"/>
                <w:b/>
                <w:bCs/>
                <w:color w:val="000000" w:themeColor="text1"/>
                <w:kern w:val="0"/>
                <w:sz w:val="21"/>
                <w:szCs w:val="21"/>
              </w:rPr>
              <w:t>装备名称</w:t>
            </w:r>
          </w:p>
        </w:tc>
        <w:tc>
          <w:tcPr>
            <w:tcW w:w="240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b/>
                <w:bCs/>
                <w:color w:val="000000" w:themeColor="text1"/>
                <w:kern w:val="0"/>
                <w:sz w:val="21"/>
                <w:szCs w:val="21"/>
              </w:rPr>
            </w:pPr>
            <w:r>
              <w:rPr>
                <w:rStyle w:val="36"/>
                <w:rFonts w:hint="eastAsia" w:asciiTheme="minorEastAsia" w:hAnsiTheme="minorEastAsia" w:eastAsiaTheme="minorEastAsia" w:cstheme="minorEastAsia"/>
                <w:b/>
                <w:bCs/>
                <w:color w:val="000000" w:themeColor="text1"/>
                <w:kern w:val="0"/>
                <w:sz w:val="21"/>
                <w:szCs w:val="21"/>
              </w:rPr>
              <w:t>技术要求或功能要求</w:t>
            </w:r>
          </w:p>
        </w:tc>
        <w:tc>
          <w:tcPr>
            <w:tcW w:w="1829"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b/>
                <w:bCs/>
                <w:color w:val="000000" w:themeColor="text1"/>
                <w:kern w:val="0"/>
                <w:sz w:val="21"/>
                <w:szCs w:val="21"/>
              </w:rPr>
            </w:pPr>
            <w:r>
              <w:rPr>
                <w:rStyle w:val="36"/>
                <w:rFonts w:hint="eastAsia" w:asciiTheme="minorEastAsia" w:hAnsiTheme="minorEastAsia" w:eastAsiaTheme="minorEastAsia" w:cstheme="minorEastAsia"/>
                <w:b/>
                <w:bCs/>
                <w:color w:val="000000" w:themeColor="text1"/>
                <w:kern w:val="0"/>
                <w:sz w:val="21"/>
                <w:szCs w:val="21"/>
              </w:rPr>
              <w:t>型号及额定参数</w:t>
            </w:r>
          </w:p>
        </w:tc>
        <w:tc>
          <w:tcPr>
            <w:tcW w:w="58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b/>
                <w:bCs/>
                <w:color w:val="000000" w:themeColor="text1"/>
                <w:kern w:val="0"/>
                <w:sz w:val="21"/>
                <w:szCs w:val="21"/>
              </w:rPr>
            </w:pPr>
            <w:r>
              <w:rPr>
                <w:rStyle w:val="36"/>
                <w:rFonts w:hint="eastAsia" w:asciiTheme="minorEastAsia" w:hAnsiTheme="minorEastAsia" w:eastAsiaTheme="minorEastAsia" w:cstheme="minorEastAsia"/>
                <w:b/>
                <w:bCs/>
                <w:color w:val="000000" w:themeColor="text1"/>
                <w:kern w:val="0"/>
                <w:sz w:val="21"/>
                <w:szCs w:val="21"/>
              </w:rPr>
              <w:t>数量</w:t>
            </w:r>
          </w:p>
        </w:tc>
        <w:tc>
          <w:tcPr>
            <w:tcW w:w="128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b/>
                <w:bCs/>
                <w:color w:val="000000" w:themeColor="text1"/>
                <w:kern w:val="0"/>
                <w:sz w:val="21"/>
                <w:szCs w:val="21"/>
              </w:rPr>
            </w:pPr>
            <w:r>
              <w:rPr>
                <w:rStyle w:val="36"/>
                <w:rFonts w:hint="eastAsia" w:asciiTheme="minorEastAsia" w:hAnsiTheme="minorEastAsia" w:eastAsiaTheme="minorEastAsia" w:cstheme="minorEastAsia"/>
                <w:b/>
                <w:bCs/>
                <w:color w:val="000000" w:themeColor="text1"/>
                <w:kern w:val="0"/>
                <w:sz w:val="21"/>
                <w:szCs w:val="21"/>
              </w:rPr>
              <w:t>存放位置</w:t>
            </w:r>
          </w:p>
        </w:tc>
        <w:tc>
          <w:tcPr>
            <w:tcW w:w="1735"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b/>
                <w:bCs/>
                <w:color w:val="000000" w:themeColor="text1"/>
                <w:kern w:val="0"/>
                <w:sz w:val="21"/>
                <w:szCs w:val="21"/>
              </w:rPr>
            </w:pPr>
            <w:r>
              <w:rPr>
                <w:rStyle w:val="36"/>
                <w:rFonts w:hint="eastAsia" w:asciiTheme="minorEastAsia" w:hAnsiTheme="minorEastAsia" w:eastAsiaTheme="minorEastAsia" w:cstheme="minorEastAsia"/>
                <w:b/>
                <w:bCs/>
                <w:color w:val="000000" w:themeColor="text1"/>
                <w:kern w:val="0"/>
                <w:sz w:val="21"/>
                <w:szCs w:val="21"/>
              </w:rPr>
              <w:t>管理人及联系电话</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622" w:hRule="atLeast"/>
        </w:trPr>
        <w:tc>
          <w:tcPr>
            <w:tcW w:w="552"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1</w:t>
            </w:r>
          </w:p>
        </w:tc>
        <w:tc>
          <w:tcPr>
            <w:tcW w:w="1224"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空气呼吸器</w:t>
            </w:r>
          </w:p>
        </w:tc>
        <w:tc>
          <w:tcPr>
            <w:tcW w:w="240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符合GB/T 18664要求</w:t>
            </w:r>
          </w:p>
        </w:tc>
        <w:tc>
          <w:tcPr>
            <w:tcW w:w="1829" w:type="dxa"/>
            <w:tcBorders>
              <w:tl2br w:val="nil"/>
              <w:tr2bl w:val="nil"/>
            </w:tcBorders>
            <w:shd w:val="clear" w:color="auto" w:fill="FFFFFF"/>
            <w:vAlign w:val="center"/>
          </w:tcPr>
          <w:p>
            <w:pPr>
              <w:spacing w:line="240" w:lineRule="auto"/>
              <w:ind w:firstLine="42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GB21976.7-2012</w:t>
            </w:r>
          </w:p>
        </w:tc>
        <w:tc>
          <w:tcPr>
            <w:tcW w:w="580" w:type="dxa"/>
            <w:tcBorders>
              <w:tl2br w:val="nil"/>
              <w:tr2bl w:val="nil"/>
            </w:tcBorders>
            <w:shd w:val="clear" w:color="auto" w:fill="FFFFFF"/>
            <w:vAlign w:val="center"/>
          </w:tcPr>
          <w:p>
            <w:pPr>
              <w:spacing w:line="240" w:lineRule="auto"/>
              <w:ind w:firstLine="626"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2</w:t>
            </w:r>
          </w:p>
        </w:tc>
        <w:tc>
          <w:tcPr>
            <w:tcW w:w="1280" w:type="dxa"/>
            <w:tcBorders>
              <w:tl2br w:val="nil"/>
              <w:tr2bl w:val="nil"/>
            </w:tcBorders>
            <w:vAlign w:val="center"/>
          </w:tcPr>
          <w:p>
            <w:pPr>
              <w:spacing w:line="240" w:lineRule="auto"/>
              <w:ind w:firstLine="210" w:firstLineChars="10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微型消防站</w:t>
            </w:r>
          </w:p>
        </w:tc>
        <w:tc>
          <w:tcPr>
            <w:tcW w:w="1735"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陈龙15979097145</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622" w:hRule="atLeast"/>
        </w:trPr>
        <w:tc>
          <w:tcPr>
            <w:tcW w:w="552"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2</w:t>
            </w:r>
          </w:p>
        </w:tc>
        <w:tc>
          <w:tcPr>
            <w:tcW w:w="1224"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气瓶</w:t>
            </w:r>
          </w:p>
        </w:tc>
        <w:tc>
          <w:tcPr>
            <w:tcW w:w="240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与空气呼吸器配套供气</w:t>
            </w:r>
          </w:p>
        </w:tc>
        <w:tc>
          <w:tcPr>
            <w:tcW w:w="1829" w:type="dxa"/>
            <w:tcBorders>
              <w:tl2br w:val="nil"/>
              <w:tr2bl w:val="nil"/>
            </w:tcBorders>
            <w:shd w:val="clear" w:color="auto" w:fill="FFFFFF"/>
            <w:vAlign w:val="center"/>
          </w:tcPr>
          <w:p>
            <w:pPr>
              <w:spacing w:line="240" w:lineRule="auto"/>
              <w:ind w:firstLine="42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GB21976.7-2012</w:t>
            </w:r>
          </w:p>
        </w:tc>
        <w:tc>
          <w:tcPr>
            <w:tcW w:w="580" w:type="dxa"/>
            <w:tcBorders>
              <w:tl2br w:val="nil"/>
              <w:tr2bl w:val="nil"/>
            </w:tcBorders>
            <w:shd w:val="clear" w:color="auto" w:fill="FFFFFF"/>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2</w:t>
            </w:r>
          </w:p>
        </w:tc>
        <w:tc>
          <w:tcPr>
            <w:tcW w:w="128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微型消防站</w:t>
            </w:r>
          </w:p>
        </w:tc>
        <w:tc>
          <w:tcPr>
            <w:tcW w:w="1735"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陈龙15979097145</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622" w:hRule="atLeast"/>
        </w:trPr>
        <w:tc>
          <w:tcPr>
            <w:tcW w:w="552"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3</w:t>
            </w:r>
          </w:p>
        </w:tc>
        <w:tc>
          <w:tcPr>
            <w:tcW w:w="1224"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防化服</w:t>
            </w:r>
          </w:p>
        </w:tc>
        <w:tc>
          <w:tcPr>
            <w:tcW w:w="240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符合AQ/T 6107要求</w:t>
            </w:r>
          </w:p>
        </w:tc>
        <w:tc>
          <w:tcPr>
            <w:tcW w:w="1829" w:type="dxa"/>
            <w:tcBorders>
              <w:tl2br w:val="nil"/>
              <w:tr2bl w:val="nil"/>
            </w:tcBorders>
            <w:shd w:val="clear" w:color="auto" w:fill="FFFFFF"/>
            <w:vAlign w:val="center"/>
          </w:tcPr>
          <w:p>
            <w:pPr>
              <w:spacing w:line="240" w:lineRule="auto"/>
              <w:ind w:firstLine="420"/>
              <w:jc w:val="center"/>
              <w:rPr>
                <w:rStyle w:val="36"/>
                <w:rFonts w:hint="eastAsia" w:asciiTheme="minorEastAsia" w:hAnsiTheme="minorEastAsia" w:eastAsiaTheme="minorEastAsia" w:cstheme="minorEastAsia"/>
                <w:color w:val="000000" w:themeColor="text1"/>
                <w:kern w:val="0"/>
                <w:sz w:val="21"/>
                <w:szCs w:val="21"/>
              </w:rPr>
            </w:pPr>
          </w:p>
        </w:tc>
        <w:tc>
          <w:tcPr>
            <w:tcW w:w="580" w:type="dxa"/>
            <w:tcBorders>
              <w:tl2br w:val="nil"/>
              <w:tr2bl w:val="nil"/>
            </w:tcBorders>
            <w:shd w:val="clear" w:color="auto" w:fill="FFFFFF"/>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1</w:t>
            </w:r>
          </w:p>
        </w:tc>
        <w:tc>
          <w:tcPr>
            <w:tcW w:w="128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微型消防站</w:t>
            </w:r>
          </w:p>
        </w:tc>
        <w:tc>
          <w:tcPr>
            <w:tcW w:w="1735"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陈龙15979097145</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622" w:hRule="atLeast"/>
        </w:trPr>
        <w:tc>
          <w:tcPr>
            <w:tcW w:w="552"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4</w:t>
            </w:r>
          </w:p>
        </w:tc>
        <w:tc>
          <w:tcPr>
            <w:tcW w:w="1224"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防毒面具</w:t>
            </w:r>
          </w:p>
        </w:tc>
        <w:tc>
          <w:tcPr>
            <w:tcW w:w="240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符合GB/T 18664要求</w:t>
            </w:r>
          </w:p>
        </w:tc>
        <w:tc>
          <w:tcPr>
            <w:tcW w:w="1829" w:type="dxa"/>
            <w:tcBorders>
              <w:tl2br w:val="nil"/>
              <w:tr2bl w:val="nil"/>
            </w:tcBorders>
            <w:shd w:val="clear" w:color="auto" w:fill="FFFFFF"/>
            <w:vAlign w:val="center"/>
          </w:tcPr>
          <w:p>
            <w:pPr>
              <w:spacing w:line="240" w:lineRule="auto"/>
              <w:ind w:firstLine="420"/>
              <w:jc w:val="center"/>
              <w:rPr>
                <w:rStyle w:val="36"/>
                <w:rFonts w:hint="eastAsia" w:asciiTheme="minorEastAsia" w:hAnsiTheme="minorEastAsia" w:eastAsiaTheme="minorEastAsia" w:cstheme="minorEastAsia"/>
                <w:color w:val="000000" w:themeColor="text1"/>
                <w:kern w:val="0"/>
                <w:sz w:val="21"/>
                <w:szCs w:val="21"/>
              </w:rPr>
            </w:pPr>
          </w:p>
        </w:tc>
        <w:tc>
          <w:tcPr>
            <w:tcW w:w="580" w:type="dxa"/>
            <w:tcBorders>
              <w:tl2br w:val="nil"/>
              <w:tr2bl w:val="nil"/>
            </w:tcBorders>
            <w:shd w:val="clear" w:color="auto" w:fill="FFFFFF"/>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2</w:t>
            </w:r>
          </w:p>
        </w:tc>
        <w:tc>
          <w:tcPr>
            <w:tcW w:w="128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微型消防站</w:t>
            </w:r>
          </w:p>
        </w:tc>
        <w:tc>
          <w:tcPr>
            <w:tcW w:w="1735"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陈龙15979097145</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622" w:hRule="atLeast"/>
        </w:trPr>
        <w:tc>
          <w:tcPr>
            <w:tcW w:w="552"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5</w:t>
            </w:r>
          </w:p>
        </w:tc>
        <w:tc>
          <w:tcPr>
            <w:tcW w:w="1224"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消防服</w:t>
            </w:r>
          </w:p>
        </w:tc>
        <w:tc>
          <w:tcPr>
            <w:tcW w:w="240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消防灭火，耐火</w:t>
            </w:r>
          </w:p>
        </w:tc>
        <w:tc>
          <w:tcPr>
            <w:tcW w:w="1829" w:type="dxa"/>
            <w:tcBorders>
              <w:tl2br w:val="nil"/>
              <w:tr2bl w:val="nil"/>
            </w:tcBorders>
            <w:vAlign w:val="center"/>
          </w:tcPr>
          <w:p>
            <w:pPr>
              <w:spacing w:line="240" w:lineRule="auto"/>
              <w:ind w:firstLine="420"/>
              <w:jc w:val="center"/>
              <w:rPr>
                <w:rStyle w:val="36"/>
                <w:rFonts w:hint="eastAsia" w:asciiTheme="minorEastAsia" w:hAnsiTheme="minorEastAsia" w:eastAsiaTheme="minorEastAsia" w:cstheme="minorEastAsia"/>
                <w:color w:val="000000" w:themeColor="text1"/>
                <w:kern w:val="0"/>
                <w:sz w:val="21"/>
                <w:szCs w:val="21"/>
              </w:rPr>
            </w:pPr>
          </w:p>
        </w:tc>
        <w:tc>
          <w:tcPr>
            <w:tcW w:w="58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2</w:t>
            </w:r>
          </w:p>
        </w:tc>
        <w:tc>
          <w:tcPr>
            <w:tcW w:w="128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微型消防站</w:t>
            </w:r>
          </w:p>
        </w:tc>
        <w:tc>
          <w:tcPr>
            <w:tcW w:w="1735"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陈龙15979097145</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622" w:hRule="atLeast"/>
        </w:trPr>
        <w:tc>
          <w:tcPr>
            <w:tcW w:w="552"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6</w:t>
            </w:r>
          </w:p>
        </w:tc>
        <w:tc>
          <w:tcPr>
            <w:tcW w:w="1224"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消防靴</w:t>
            </w:r>
          </w:p>
        </w:tc>
        <w:tc>
          <w:tcPr>
            <w:tcW w:w="240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消防灭火，耐火</w:t>
            </w:r>
          </w:p>
        </w:tc>
        <w:tc>
          <w:tcPr>
            <w:tcW w:w="1829" w:type="dxa"/>
            <w:tcBorders>
              <w:tl2br w:val="nil"/>
              <w:tr2bl w:val="nil"/>
            </w:tcBorders>
            <w:vAlign w:val="center"/>
          </w:tcPr>
          <w:p>
            <w:pPr>
              <w:spacing w:line="240" w:lineRule="auto"/>
              <w:ind w:firstLine="420"/>
              <w:jc w:val="center"/>
              <w:rPr>
                <w:rStyle w:val="36"/>
                <w:rFonts w:hint="eastAsia" w:asciiTheme="minorEastAsia" w:hAnsiTheme="minorEastAsia" w:eastAsiaTheme="minorEastAsia" w:cstheme="minorEastAsia"/>
                <w:color w:val="000000" w:themeColor="text1"/>
                <w:kern w:val="0"/>
                <w:sz w:val="21"/>
                <w:szCs w:val="21"/>
              </w:rPr>
            </w:pPr>
          </w:p>
        </w:tc>
        <w:tc>
          <w:tcPr>
            <w:tcW w:w="58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2</w:t>
            </w:r>
          </w:p>
        </w:tc>
        <w:tc>
          <w:tcPr>
            <w:tcW w:w="128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微型消防站</w:t>
            </w:r>
          </w:p>
        </w:tc>
        <w:tc>
          <w:tcPr>
            <w:tcW w:w="1735"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陈龙15979097145</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622" w:hRule="atLeast"/>
        </w:trPr>
        <w:tc>
          <w:tcPr>
            <w:tcW w:w="552"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7</w:t>
            </w:r>
          </w:p>
        </w:tc>
        <w:tc>
          <w:tcPr>
            <w:tcW w:w="1224"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消防手套</w:t>
            </w:r>
          </w:p>
        </w:tc>
        <w:tc>
          <w:tcPr>
            <w:tcW w:w="240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消防灭火，耐火</w:t>
            </w:r>
          </w:p>
        </w:tc>
        <w:tc>
          <w:tcPr>
            <w:tcW w:w="1829" w:type="dxa"/>
            <w:tcBorders>
              <w:tl2br w:val="nil"/>
              <w:tr2bl w:val="nil"/>
            </w:tcBorders>
            <w:vAlign w:val="center"/>
          </w:tcPr>
          <w:p>
            <w:pPr>
              <w:spacing w:line="240" w:lineRule="auto"/>
              <w:ind w:firstLine="420"/>
              <w:jc w:val="center"/>
              <w:rPr>
                <w:rStyle w:val="36"/>
                <w:rFonts w:hint="eastAsia" w:asciiTheme="minorEastAsia" w:hAnsiTheme="minorEastAsia" w:eastAsiaTheme="minorEastAsia" w:cstheme="minorEastAsia"/>
                <w:color w:val="000000" w:themeColor="text1"/>
                <w:kern w:val="0"/>
                <w:sz w:val="21"/>
                <w:szCs w:val="21"/>
              </w:rPr>
            </w:pPr>
          </w:p>
        </w:tc>
        <w:tc>
          <w:tcPr>
            <w:tcW w:w="58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2</w:t>
            </w:r>
          </w:p>
        </w:tc>
        <w:tc>
          <w:tcPr>
            <w:tcW w:w="1280" w:type="dxa"/>
            <w:tcBorders>
              <w:tl2br w:val="nil"/>
              <w:tr2bl w:val="nil"/>
            </w:tcBorders>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微型消防站</w:t>
            </w:r>
          </w:p>
        </w:tc>
        <w:tc>
          <w:tcPr>
            <w:tcW w:w="1735"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陈龙15979097145</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622" w:hRule="atLeast"/>
        </w:trPr>
        <w:tc>
          <w:tcPr>
            <w:tcW w:w="552"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8</w:t>
            </w:r>
          </w:p>
        </w:tc>
        <w:tc>
          <w:tcPr>
            <w:tcW w:w="1224"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安全带</w:t>
            </w:r>
          </w:p>
        </w:tc>
        <w:tc>
          <w:tcPr>
            <w:tcW w:w="240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高空作业防护保护</w:t>
            </w:r>
          </w:p>
        </w:tc>
        <w:tc>
          <w:tcPr>
            <w:tcW w:w="1829" w:type="dxa"/>
            <w:tcBorders>
              <w:tl2br w:val="nil"/>
              <w:tr2bl w:val="nil"/>
            </w:tcBorders>
            <w:vAlign w:val="center"/>
          </w:tcPr>
          <w:p>
            <w:pPr>
              <w:spacing w:line="240" w:lineRule="auto"/>
              <w:ind w:firstLine="420"/>
              <w:jc w:val="center"/>
              <w:rPr>
                <w:rStyle w:val="36"/>
                <w:rFonts w:hint="eastAsia" w:asciiTheme="minorEastAsia" w:hAnsiTheme="minorEastAsia" w:eastAsiaTheme="minorEastAsia" w:cstheme="minorEastAsia"/>
                <w:color w:val="000000" w:themeColor="text1"/>
                <w:kern w:val="0"/>
                <w:sz w:val="21"/>
                <w:szCs w:val="21"/>
              </w:rPr>
            </w:pPr>
          </w:p>
        </w:tc>
        <w:tc>
          <w:tcPr>
            <w:tcW w:w="58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2</w:t>
            </w:r>
          </w:p>
        </w:tc>
        <w:tc>
          <w:tcPr>
            <w:tcW w:w="1280" w:type="dxa"/>
            <w:tcBorders>
              <w:tl2br w:val="nil"/>
              <w:tr2bl w:val="nil"/>
            </w:tcBorders>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微型消防站</w:t>
            </w:r>
          </w:p>
        </w:tc>
        <w:tc>
          <w:tcPr>
            <w:tcW w:w="1735"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陈龙15979097145</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622" w:hRule="atLeast"/>
        </w:trPr>
        <w:tc>
          <w:tcPr>
            <w:tcW w:w="552"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9</w:t>
            </w:r>
          </w:p>
        </w:tc>
        <w:tc>
          <w:tcPr>
            <w:tcW w:w="1224"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安全帽</w:t>
            </w:r>
          </w:p>
        </w:tc>
        <w:tc>
          <w:tcPr>
            <w:tcW w:w="240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头部防砸防撞</w:t>
            </w:r>
          </w:p>
        </w:tc>
        <w:tc>
          <w:tcPr>
            <w:tcW w:w="1829" w:type="dxa"/>
            <w:tcBorders>
              <w:tl2br w:val="nil"/>
              <w:tr2bl w:val="nil"/>
            </w:tcBorders>
            <w:vAlign w:val="center"/>
          </w:tcPr>
          <w:p>
            <w:pPr>
              <w:spacing w:line="240" w:lineRule="auto"/>
              <w:ind w:firstLine="420"/>
              <w:jc w:val="center"/>
              <w:rPr>
                <w:rStyle w:val="36"/>
                <w:rFonts w:hint="eastAsia" w:asciiTheme="minorEastAsia" w:hAnsiTheme="minorEastAsia" w:eastAsiaTheme="minorEastAsia" w:cstheme="minorEastAsia"/>
                <w:color w:val="000000" w:themeColor="text1"/>
                <w:kern w:val="0"/>
                <w:sz w:val="21"/>
                <w:szCs w:val="21"/>
              </w:rPr>
            </w:pPr>
          </w:p>
        </w:tc>
        <w:tc>
          <w:tcPr>
            <w:tcW w:w="58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2</w:t>
            </w:r>
          </w:p>
        </w:tc>
        <w:tc>
          <w:tcPr>
            <w:tcW w:w="1280" w:type="dxa"/>
            <w:tcBorders>
              <w:tl2br w:val="nil"/>
              <w:tr2bl w:val="nil"/>
            </w:tcBorders>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油罐区</w:t>
            </w:r>
          </w:p>
        </w:tc>
        <w:tc>
          <w:tcPr>
            <w:tcW w:w="1735" w:type="dxa"/>
            <w:tcBorders>
              <w:tl2br w:val="nil"/>
              <w:tr2bl w:val="nil"/>
            </w:tcBorders>
            <w:vAlign w:val="center"/>
          </w:tcPr>
          <w:p>
            <w:pPr>
              <w:spacing w:line="240" w:lineRule="auto"/>
              <w:ind w:firstLine="0"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陈龙15979097145</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622" w:hRule="atLeast"/>
        </w:trPr>
        <w:tc>
          <w:tcPr>
            <w:tcW w:w="552"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p>
        </w:tc>
        <w:tc>
          <w:tcPr>
            <w:tcW w:w="1224"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消防沙</w:t>
            </w:r>
          </w:p>
        </w:tc>
        <w:tc>
          <w:tcPr>
            <w:tcW w:w="240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p>
        </w:tc>
        <w:tc>
          <w:tcPr>
            <w:tcW w:w="1829" w:type="dxa"/>
            <w:tcBorders>
              <w:tl2br w:val="nil"/>
              <w:tr2bl w:val="nil"/>
            </w:tcBorders>
            <w:vAlign w:val="center"/>
          </w:tcPr>
          <w:p>
            <w:pPr>
              <w:spacing w:line="240" w:lineRule="auto"/>
              <w:ind w:firstLine="420"/>
              <w:jc w:val="center"/>
              <w:rPr>
                <w:rStyle w:val="36"/>
                <w:rFonts w:hint="eastAsia" w:asciiTheme="minorEastAsia" w:hAnsiTheme="minorEastAsia" w:eastAsiaTheme="minorEastAsia" w:cstheme="minorEastAsia"/>
                <w:color w:val="000000" w:themeColor="text1"/>
                <w:kern w:val="0"/>
                <w:sz w:val="21"/>
                <w:szCs w:val="21"/>
              </w:rPr>
            </w:pPr>
          </w:p>
        </w:tc>
        <w:tc>
          <w:tcPr>
            <w:tcW w:w="58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p>
        </w:tc>
        <w:tc>
          <w:tcPr>
            <w:tcW w:w="128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p>
        </w:tc>
        <w:tc>
          <w:tcPr>
            <w:tcW w:w="1735"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622" w:hRule="atLeast"/>
        </w:trPr>
        <w:tc>
          <w:tcPr>
            <w:tcW w:w="552"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p>
        </w:tc>
        <w:tc>
          <w:tcPr>
            <w:tcW w:w="1224"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消防事故池</w:t>
            </w:r>
          </w:p>
        </w:tc>
        <w:tc>
          <w:tcPr>
            <w:tcW w:w="240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r>
              <w:rPr>
                <w:rStyle w:val="36"/>
                <w:rFonts w:hint="eastAsia" w:asciiTheme="minorEastAsia" w:hAnsiTheme="minorEastAsia" w:eastAsiaTheme="minorEastAsia" w:cstheme="minorEastAsia"/>
                <w:color w:val="000000" w:themeColor="text1"/>
                <w:kern w:val="0"/>
                <w:sz w:val="21"/>
                <w:szCs w:val="21"/>
              </w:rPr>
              <w:t>m</w:t>
            </w:r>
            <w:r>
              <w:rPr>
                <w:rStyle w:val="36"/>
                <w:rFonts w:hint="eastAsia" w:asciiTheme="minorEastAsia" w:hAnsiTheme="minorEastAsia" w:eastAsiaTheme="minorEastAsia" w:cstheme="minorEastAsia"/>
                <w:color w:val="000000" w:themeColor="text1"/>
                <w:kern w:val="0"/>
                <w:sz w:val="21"/>
                <w:szCs w:val="21"/>
                <w:vertAlign w:val="superscript"/>
              </w:rPr>
              <w:t>3</w:t>
            </w:r>
          </w:p>
        </w:tc>
        <w:tc>
          <w:tcPr>
            <w:tcW w:w="1829" w:type="dxa"/>
            <w:tcBorders>
              <w:tl2br w:val="nil"/>
              <w:tr2bl w:val="nil"/>
            </w:tcBorders>
            <w:vAlign w:val="center"/>
          </w:tcPr>
          <w:p>
            <w:pPr>
              <w:spacing w:line="240" w:lineRule="auto"/>
              <w:ind w:firstLine="420"/>
              <w:jc w:val="center"/>
              <w:rPr>
                <w:rStyle w:val="36"/>
                <w:rFonts w:hint="eastAsia" w:asciiTheme="minorEastAsia" w:hAnsiTheme="minorEastAsia" w:eastAsiaTheme="minorEastAsia" w:cstheme="minorEastAsia"/>
                <w:color w:val="000000" w:themeColor="text1"/>
                <w:kern w:val="0"/>
                <w:sz w:val="21"/>
                <w:szCs w:val="21"/>
              </w:rPr>
            </w:pPr>
          </w:p>
        </w:tc>
        <w:tc>
          <w:tcPr>
            <w:tcW w:w="58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p>
        </w:tc>
        <w:tc>
          <w:tcPr>
            <w:tcW w:w="1280"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p>
        </w:tc>
        <w:tc>
          <w:tcPr>
            <w:tcW w:w="1735" w:type="dxa"/>
            <w:tcBorders>
              <w:tl2br w:val="nil"/>
              <w:tr2bl w:val="nil"/>
            </w:tcBorders>
            <w:vAlign w:val="center"/>
          </w:tcPr>
          <w:p>
            <w:pPr>
              <w:spacing w:line="240" w:lineRule="auto"/>
              <w:ind w:firstLineChars="0"/>
              <w:jc w:val="center"/>
              <w:rPr>
                <w:rStyle w:val="36"/>
                <w:rFonts w:hint="eastAsia" w:asciiTheme="minorEastAsia" w:hAnsiTheme="minorEastAsia" w:eastAsiaTheme="minorEastAsia" w:cstheme="minorEastAsia"/>
                <w:color w:val="000000" w:themeColor="text1"/>
                <w:kern w:val="0"/>
                <w:sz w:val="21"/>
                <w:szCs w:val="21"/>
              </w:rPr>
            </w:pPr>
          </w:p>
        </w:tc>
      </w:tr>
    </w:tbl>
    <w:p>
      <w:pPr>
        <w:rPr>
          <w:rFonts w:ascii="Times New Roman" w:hAnsi="Times New Roman" w:cs="Times New Roman"/>
          <w:b/>
          <w:bCs/>
          <w:color w:val="000000" w:themeColor="text1"/>
          <w:sz w:val="24"/>
          <w:szCs w:val="24"/>
        </w:rPr>
      </w:pPr>
      <w:bookmarkStart w:id="1336" w:name="_Toc23617"/>
      <w:bookmarkStart w:id="1337" w:name="_Toc30659"/>
      <w:bookmarkStart w:id="1338" w:name="_Toc8247"/>
      <w:r>
        <w:rPr>
          <w:rFonts w:ascii="Times New Roman" w:hAnsi="Times New Roman" w:cs="Times New Roman"/>
          <w:b/>
          <w:bCs/>
          <w:color w:val="000000" w:themeColor="text1"/>
          <w:sz w:val="24"/>
          <w:szCs w:val="24"/>
        </w:rPr>
        <w:br w:type="page"/>
      </w:r>
    </w:p>
    <w:p>
      <w:pPr>
        <w:keepNext/>
        <w:keepLines/>
        <w:spacing w:beforeLines="150" w:line="360" w:lineRule="auto"/>
        <w:jc w:val="left"/>
        <w:outlineLvl w:val="1"/>
        <w:rPr>
          <w:rFonts w:ascii="Times New Roman" w:hAnsi="Times New Roman" w:cs="Times New Roman"/>
          <w:b/>
          <w:bCs/>
          <w:color w:val="000000" w:themeColor="text1"/>
          <w:kern w:val="44"/>
          <w:sz w:val="24"/>
          <w:szCs w:val="24"/>
        </w:rPr>
      </w:pPr>
      <w:bookmarkStart w:id="1339" w:name="_Toc30015"/>
      <w:r>
        <w:rPr>
          <w:rFonts w:ascii="Times New Roman" w:hAnsi="Times New Roman" w:cs="Times New Roman"/>
          <w:b/>
          <w:bCs/>
          <w:color w:val="000000" w:themeColor="text1"/>
          <w:sz w:val="24"/>
          <w:szCs w:val="24"/>
        </w:rPr>
        <w:t>附件七：</w:t>
      </w:r>
      <w:bookmarkEnd w:id="1336"/>
      <w:bookmarkEnd w:id="1337"/>
      <w:bookmarkEnd w:id="1338"/>
      <w:r>
        <w:rPr>
          <w:rFonts w:hint="eastAsia" w:ascii="Times New Roman" w:hAnsi="Times New Roman" w:cs="Times New Roman"/>
          <w:b/>
          <w:bCs/>
          <w:color w:val="000000" w:themeColor="text1"/>
          <w:sz w:val="24"/>
          <w:szCs w:val="24"/>
        </w:rPr>
        <w:t>固体废物处置合</w:t>
      </w:r>
      <w:r>
        <w:rPr>
          <w:rFonts w:hint="eastAsia" w:eastAsia="仿宋"/>
          <w:lang w:eastAsia="zh-CN"/>
        </w:rPr>
        <w:drawing>
          <wp:inline distT="0" distB="0" distL="114300" distR="114300">
            <wp:extent cx="5850890" cy="8384540"/>
            <wp:effectExtent l="0" t="0" r="1270" b="12700"/>
            <wp:docPr id="55" name="图片 55" descr="HSE合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HSE合同1"/>
                    <pic:cNvPicPr>
                      <a:picLocks noChangeAspect="1"/>
                    </pic:cNvPicPr>
                  </pic:nvPicPr>
                  <pic:blipFill>
                    <a:blip r:embed="rId35"/>
                    <a:stretch>
                      <a:fillRect/>
                    </a:stretch>
                  </pic:blipFill>
                  <pic:spPr>
                    <a:xfrm>
                      <a:off x="0" y="0"/>
                      <a:ext cx="5850890" cy="8384540"/>
                    </a:xfrm>
                    <a:prstGeom prst="rect">
                      <a:avLst/>
                    </a:prstGeom>
                  </pic:spPr>
                </pic:pic>
              </a:graphicData>
            </a:graphic>
          </wp:inline>
        </w:drawing>
      </w:r>
      <w:r>
        <w:rPr>
          <w:rFonts w:hint="eastAsia" w:eastAsia="仿宋"/>
          <w:lang w:eastAsia="zh-CN"/>
        </w:rPr>
        <w:drawing>
          <wp:inline distT="0" distB="0" distL="114300" distR="114300">
            <wp:extent cx="5941695" cy="8851265"/>
            <wp:effectExtent l="0" t="0" r="1905" b="3175"/>
            <wp:docPr id="54" name="图片 54" descr="HSE合同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HSE合同2"/>
                    <pic:cNvPicPr>
                      <a:picLocks noChangeAspect="1"/>
                    </pic:cNvPicPr>
                  </pic:nvPicPr>
                  <pic:blipFill>
                    <a:blip r:embed="rId36"/>
                    <a:stretch>
                      <a:fillRect/>
                    </a:stretch>
                  </pic:blipFill>
                  <pic:spPr>
                    <a:xfrm>
                      <a:off x="0" y="0"/>
                      <a:ext cx="5941695" cy="8851265"/>
                    </a:xfrm>
                    <a:prstGeom prst="rect">
                      <a:avLst/>
                    </a:prstGeom>
                  </pic:spPr>
                </pic:pic>
              </a:graphicData>
            </a:graphic>
          </wp:inline>
        </w:drawing>
      </w:r>
      <w:r>
        <w:rPr>
          <w:rFonts w:hint="eastAsia" w:eastAsia="仿宋"/>
          <w:lang w:eastAsia="zh-CN"/>
        </w:rPr>
        <w:drawing>
          <wp:inline distT="0" distB="0" distL="114300" distR="114300">
            <wp:extent cx="5944870" cy="8861425"/>
            <wp:effectExtent l="0" t="0" r="13970" b="8255"/>
            <wp:docPr id="53" name="图片 53" descr="HSE合同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HSE合同3"/>
                    <pic:cNvPicPr>
                      <a:picLocks noChangeAspect="1"/>
                    </pic:cNvPicPr>
                  </pic:nvPicPr>
                  <pic:blipFill>
                    <a:blip r:embed="rId37"/>
                    <a:stretch>
                      <a:fillRect/>
                    </a:stretch>
                  </pic:blipFill>
                  <pic:spPr>
                    <a:xfrm>
                      <a:off x="0" y="0"/>
                      <a:ext cx="5944870" cy="8861425"/>
                    </a:xfrm>
                    <a:prstGeom prst="rect">
                      <a:avLst/>
                    </a:prstGeom>
                  </pic:spPr>
                </pic:pic>
              </a:graphicData>
            </a:graphic>
          </wp:inline>
        </w:drawing>
      </w:r>
      <w:r>
        <w:rPr>
          <w:rFonts w:hint="eastAsia" w:eastAsia="仿宋"/>
          <w:lang w:eastAsia="zh-CN"/>
        </w:rPr>
        <w:drawing>
          <wp:inline distT="0" distB="0" distL="114300" distR="114300">
            <wp:extent cx="5887085" cy="8863965"/>
            <wp:effectExtent l="0" t="0" r="10795" b="5715"/>
            <wp:docPr id="52" name="图片 52" descr="HSE合同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HSE合同4"/>
                    <pic:cNvPicPr>
                      <a:picLocks noChangeAspect="1"/>
                    </pic:cNvPicPr>
                  </pic:nvPicPr>
                  <pic:blipFill>
                    <a:blip r:embed="rId38"/>
                    <a:stretch>
                      <a:fillRect/>
                    </a:stretch>
                  </pic:blipFill>
                  <pic:spPr>
                    <a:xfrm>
                      <a:off x="0" y="0"/>
                      <a:ext cx="5887085" cy="8863965"/>
                    </a:xfrm>
                    <a:prstGeom prst="rect">
                      <a:avLst/>
                    </a:prstGeom>
                  </pic:spPr>
                </pic:pic>
              </a:graphicData>
            </a:graphic>
          </wp:inline>
        </w:drawing>
      </w:r>
      <w:r>
        <w:rPr>
          <w:rFonts w:hint="eastAsia" w:eastAsia="仿宋"/>
          <w:lang w:eastAsia="zh-CN"/>
        </w:rPr>
        <w:drawing>
          <wp:inline distT="0" distB="0" distL="114300" distR="114300">
            <wp:extent cx="5890895" cy="8858885"/>
            <wp:effectExtent l="0" t="0" r="6985" b="10795"/>
            <wp:docPr id="51" name="图片 51" descr="HSE合同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HSE合同5"/>
                    <pic:cNvPicPr>
                      <a:picLocks noChangeAspect="1"/>
                    </pic:cNvPicPr>
                  </pic:nvPicPr>
                  <pic:blipFill>
                    <a:blip r:embed="rId39"/>
                    <a:stretch>
                      <a:fillRect/>
                    </a:stretch>
                  </pic:blipFill>
                  <pic:spPr>
                    <a:xfrm>
                      <a:off x="0" y="0"/>
                      <a:ext cx="5890895" cy="8858885"/>
                    </a:xfrm>
                    <a:prstGeom prst="rect">
                      <a:avLst/>
                    </a:prstGeom>
                  </pic:spPr>
                </pic:pic>
              </a:graphicData>
            </a:graphic>
          </wp:inline>
        </w:drawing>
      </w:r>
      <w:r>
        <w:rPr>
          <w:rFonts w:hint="eastAsia" w:eastAsia="仿宋"/>
          <w:lang w:eastAsia="zh-CN"/>
        </w:rPr>
        <w:drawing>
          <wp:inline distT="0" distB="0" distL="114300" distR="114300">
            <wp:extent cx="5885180" cy="8855710"/>
            <wp:effectExtent l="0" t="0" r="12700" b="13970"/>
            <wp:docPr id="50" name="图片 50" descr="HSE合同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HSE合同6"/>
                    <pic:cNvPicPr>
                      <a:picLocks noChangeAspect="1"/>
                    </pic:cNvPicPr>
                  </pic:nvPicPr>
                  <pic:blipFill>
                    <a:blip r:embed="rId40"/>
                    <a:stretch>
                      <a:fillRect/>
                    </a:stretch>
                  </pic:blipFill>
                  <pic:spPr>
                    <a:xfrm>
                      <a:off x="0" y="0"/>
                      <a:ext cx="5885180" cy="8855710"/>
                    </a:xfrm>
                    <a:prstGeom prst="rect">
                      <a:avLst/>
                    </a:prstGeom>
                  </pic:spPr>
                </pic:pic>
              </a:graphicData>
            </a:graphic>
          </wp:inline>
        </w:drawing>
      </w:r>
      <w:r>
        <w:rPr>
          <w:rFonts w:hint="eastAsia" w:eastAsia="仿宋"/>
          <w:lang w:eastAsia="zh-CN"/>
        </w:rPr>
        <w:drawing>
          <wp:inline distT="0" distB="0" distL="114300" distR="114300">
            <wp:extent cx="6002020" cy="8842375"/>
            <wp:effectExtent l="0" t="0" r="2540" b="12065"/>
            <wp:docPr id="49" name="图片 49" descr="HSE合同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HSE合同7"/>
                    <pic:cNvPicPr>
                      <a:picLocks noChangeAspect="1"/>
                    </pic:cNvPicPr>
                  </pic:nvPicPr>
                  <pic:blipFill>
                    <a:blip r:embed="rId41"/>
                    <a:stretch>
                      <a:fillRect/>
                    </a:stretch>
                  </pic:blipFill>
                  <pic:spPr>
                    <a:xfrm>
                      <a:off x="0" y="0"/>
                      <a:ext cx="6002020" cy="8842375"/>
                    </a:xfrm>
                    <a:prstGeom prst="rect">
                      <a:avLst/>
                    </a:prstGeom>
                  </pic:spPr>
                </pic:pic>
              </a:graphicData>
            </a:graphic>
          </wp:inline>
        </w:drawing>
      </w:r>
      <w:r>
        <w:rPr>
          <w:rFonts w:hint="eastAsia" w:eastAsia="仿宋"/>
          <w:lang w:eastAsia="zh-CN"/>
        </w:rPr>
        <w:drawing>
          <wp:inline distT="0" distB="0" distL="114300" distR="114300">
            <wp:extent cx="5963285" cy="8857615"/>
            <wp:effectExtent l="0" t="0" r="10795" b="12065"/>
            <wp:docPr id="48" name="图片 48" descr="HSE合同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HSE合同8 "/>
                    <pic:cNvPicPr>
                      <a:picLocks noChangeAspect="1"/>
                    </pic:cNvPicPr>
                  </pic:nvPicPr>
                  <pic:blipFill>
                    <a:blip r:embed="rId42"/>
                    <a:stretch>
                      <a:fillRect/>
                    </a:stretch>
                  </pic:blipFill>
                  <pic:spPr>
                    <a:xfrm>
                      <a:off x="0" y="0"/>
                      <a:ext cx="5963285" cy="8857615"/>
                    </a:xfrm>
                    <a:prstGeom prst="rect">
                      <a:avLst/>
                    </a:prstGeom>
                  </pic:spPr>
                </pic:pic>
              </a:graphicData>
            </a:graphic>
          </wp:inline>
        </w:drawing>
      </w:r>
      <w:r>
        <w:rPr>
          <w:rFonts w:hint="eastAsia" w:eastAsia="仿宋"/>
          <w:lang w:eastAsia="zh-CN"/>
        </w:rPr>
        <w:drawing>
          <wp:inline distT="0" distB="0" distL="114300" distR="114300">
            <wp:extent cx="5838190" cy="8852535"/>
            <wp:effectExtent l="0" t="0" r="13970" b="1905"/>
            <wp:docPr id="47" name="图片 47" descr="HSE合同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HSE合同9"/>
                    <pic:cNvPicPr>
                      <a:picLocks noChangeAspect="1"/>
                    </pic:cNvPicPr>
                  </pic:nvPicPr>
                  <pic:blipFill>
                    <a:blip r:embed="rId43"/>
                    <a:stretch>
                      <a:fillRect/>
                    </a:stretch>
                  </pic:blipFill>
                  <pic:spPr>
                    <a:xfrm>
                      <a:off x="0" y="0"/>
                      <a:ext cx="5838190" cy="8852535"/>
                    </a:xfrm>
                    <a:prstGeom prst="rect">
                      <a:avLst/>
                    </a:prstGeom>
                  </pic:spPr>
                </pic:pic>
              </a:graphicData>
            </a:graphic>
          </wp:inline>
        </w:drawing>
      </w:r>
      <w:r>
        <w:rPr>
          <w:rFonts w:hint="eastAsia" w:eastAsia="仿宋"/>
          <w:lang w:eastAsia="zh-CN"/>
        </w:rPr>
        <w:drawing>
          <wp:inline distT="0" distB="0" distL="114300" distR="114300">
            <wp:extent cx="6186805" cy="8528685"/>
            <wp:effectExtent l="0" t="0" r="635" b="5715"/>
            <wp:docPr id="46" name="图片 46" descr="合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合同1"/>
                    <pic:cNvPicPr>
                      <a:picLocks noChangeAspect="1"/>
                    </pic:cNvPicPr>
                  </pic:nvPicPr>
                  <pic:blipFill>
                    <a:blip r:embed="rId44"/>
                    <a:stretch>
                      <a:fillRect/>
                    </a:stretch>
                  </pic:blipFill>
                  <pic:spPr>
                    <a:xfrm>
                      <a:off x="0" y="0"/>
                      <a:ext cx="6186805" cy="8528685"/>
                    </a:xfrm>
                    <a:prstGeom prst="rect">
                      <a:avLst/>
                    </a:prstGeom>
                  </pic:spPr>
                </pic:pic>
              </a:graphicData>
            </a:graphic>
          </wp:inline>
        </w:drawing>
      </w:r>
      <w:r>
        <w:rPr>
          <w:rFonts w:hint="eastAsia" w:eastAsia="仿宋"/>
          <w:lang w:eastAsia="zh-CN"/>
        </w:rPr>
        <w:drawing>
          <wp:inline distT="0" distB="0" distL="114300" distR="114300">
            <wp:extent cx="5911850" cy="8840470"/>
            <wp:effectExtent l="0" t="0" r="1270" b="13970"/>
            <wp:docPr id="45" name="图片 45" descr="合同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合同2"/>
                    <pic:cNvPicPr>
                      <a:picLocks noChangeAspect="1"/>
                    </pic:cNvPicPr>
                  </pic:nvPicPr>
                  <pic:blipFill>
                    <a:blip r:embed="rId45"/>
                    <a:stretch>
                      <a:fillRect/>
                    </a:stretch>
                  </pic:blipFill>
                  <pic:spPr>
                    <a:xfrm>
                      <a:off x="0" y="0"/>
                      <a:ext cx="5911850" cy="8840470"/>
                    </a:xfrm>
                    <a:prstGeom prst="rect">
                      <a:avLst/>
                    </a:prstGeom>
                  </pic:spPr>
                </pic:pic>
              </a:graphicData>
            </a:graphic>
          </wp:inline>
        </w:drawing>
      </w:r>
      <w:r>
        <w:rPr>
          <w:rFonts w:hint="eastAsia" w:eastAsia="仿宋"/>
          <w:lang w:eastAsia="zh-CN"/>
        </w:rPr>
        <w:drawing>
          <wp:inline distT="0" distB="0" distL="114300" distR="114300">
            <wp:extent cx="6181090" cy="8396605"/>
            <wp:effectExtent l="0" t="0" r="6350" b="635"/>
            <wp:docPr id="44" name="图片 44" descr="合同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合同3"/>
                    <pic:cNvPicPr>
                      <a:picLocks noChangeAspect="1"/>
                    </pic:cNvPicPr>
                  </pic:nvPicPr>
                  <pic:blipFill>
                    <a:blip r:embed="rId46"/>
                    <a:stretch>
                      <a:fillRect/>
                    </a:stretch>
                  </pic:blipFill>
                  <pic:spPr>
                    <a:xfrm>
                      <a:off x="0" y="0"/>
                      <a:ext cx="6181090" cy="8396605"/>
                    </a:xfrm>
                    <a:prstGeom prst="rect">
                      <a:avLst/>
                    </a:prstGeom>
                  </pic:spPr>
                </pic:pic>
              </a:graphicData>
            </a:graphic>
          </wp:inline>
        </w:drawing>
      </w:r>
      <w:r>
        <w:rPr>
          <w:rFonts w:hint="eastAsia" w:eastAsia="仿宋"/>
          <w:lang w:eastAsia="zh-CN"/>
        </w:rPr>
        <w:drawing>
          <wp:inline distT="0" distB="0" distL="114300" distR="114300">
            <wp:extent cx="5935980" cy="8842375"/>
            <wp:effectExtent l="0" t="0" r="7620" b="12065"/>
            <wp:docPr id="43" name="图片 43" descr="合同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合同4"/>
                    <pic:cNvPicPr>
                      <a:picLocks noChangeAspect="1"/>
                    </pic:cNvPicPr>
                  </pic:nvPicPr>
                  <pic:blipFill>
                    <a:blip r:embed="rId47"/>
                    <a:stretch>
                      <a:fillRect/>
                    </a:stretch>
                  </pic:blipFill>
                  <pic:spPr>
                    <a:xfrm>
                      <a:off x="0" y="0"/>
                      <a:ext cx="5935980" cy="8842375"/>
                    </a:xfrm>
                    <a:prstGeom prst="rect">
                      <a:avLst/>
                    </a:prstGeom>
                  </pic:spPr>
                </pic:pic>
              </a:graphicData>
            </a:graphic>
          </wp:inline>
        </w:drawing>
      </w:r>
      <w:r>
        <w:rPr>
          <w:rFonts w:hint="eastAsia" w:eastAsia="仿宋"/>
          <w:lang w:eastAsia="zh-CN"/>
        </w:rPr>
        <w:drawing>
          <wp:inline distT="0" distB="0" distL="114300" distR="114300">
            <wp:extent cx="5988685" cy="8858250"/>
            <wp:effectExtent l="0" t="0" r="635" b="11430"/>
            <wp:docPr id="42" name="图片 42" descr="合同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合同5"/>
                    <pic:cNvPicPr>
                      <a:picLocks noChangeAspect="1"/>
                    </pic:cNvPicPr>
                  </pic:nvPicPr>
                  <pic:blipFill>
                    <a:blip r:embed="rId48"/>
                    <a:stretch>
                      <a:fillRect/>
                    </a:stretch>
                  </pic:blipFill>
                  <pic:spPr>
                    <a:xfrm>
                      <a:off x="0" y="0"/>
                      <a:ext cx="5988685" cy="8858250"/>
                    </a:xfrm>
                    <a:prstGeom prst="rect">
                      <a:avLst/>
                    </a:prstGeom>
                  </pic:spPr>
                </pic:pic>
              </a:graphicData>
            </a:graphic>
          </wp:inline>
        </w:drawing>
      </w:r>
      <w:r>
        <w:rPr>
          <w:rFonts w:hint="eastAsia" w:eastAsia="仿宋"/>
          <w:lang w:eastAsia="zh-CN"/>
        </w:rPr>
        <w:drawing>
          <wp:inline distT="0" distB="0" distL="114300" distR="114300">
            <wp:extent cx="5952490" cy="8846820"/>
            <wp:effectExtent l="0" t="0" r="6350" b="7620"/>
            <wp:docPr id="40" name="图片 40" descr="合同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合同6"/>
                    <pic:cNvPicPr>
                      <a:picLocks noChangeAspect="1"/>
                    </pic:cNvPicPr>
                  </pic:nvPicPr>
                  <pic:blipFill>
                    <a:blip r:embed="rId49"/>
                    <a:stretch>
                      <a:fillRect/>
                    </a:stretch>
                  </pic:blipFill>
                  <pic:spPr>
                    <a:xfrm>
                      <a:off x="0" y="0"/>
                      <a:ext cx="5952490" cy="8846820"/>
                    </a:xfrm>
                    <a:prstGeom prst="rect">
                      <a:avLst/>
                    </a:prstGeom>
                  </pic:spPr>
                </pic:pic>
              </a:graphicData>
            </a:graphic>
          </wp:inline>
        </w:drawing>
      </w:r>
      <w:r>
        <w:rPr>
          <w:rFonts w:hint="eastAsia" w:eastAsia="仿宋"/>
          <w:lang w:eastAsia="zh-CN"/>
        </w:rPr>
        <w:drawing>
          <wp:inline distT="0" distB="0" distL="114300" distR="114300">
            <wp:extent cx="6002020" cy="8855075"/>
            <wp:effectExtent l="0" t="0" r="2540" b="14605"/>
            <wp:docPr id="39" name="图片 39" descr="合同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合同7"/>
                    <pic:cNvPicPr>
                      <a:picLocks noChangeAspect="1"/>
                    </pic:cNvPicPr>
                  </pic:nvPicPr>
                  <pic:blipFill>
                    <a:blip r:embed="rId50"/>
                    <a:stretch>
                      <a:fillRect/>
                    </a:stretch>
                  </pic:blipFill>
                  <pic:spPr>
                    <a:xfrm>
                      <a:off x="0" y="0"/>
                      <a:ext cx="6002020" cy="8855075"/>
                    </a:xfrm>
                    <a:prstGeom prst="rect">
                      <a:avLst/>
                    </a:prstGeom>
                  </pic:spPr>
                </pic:pic>
              </a:graphicData>
            </a:graphic>
          </wp:inline>
        </w:drawing>
      </w:r>
      <w:r>
        <w:rPr>
          <w:rFonts w:hint="eastAsia" w:eastAsia="仿宋"/>
          <w:lang w:eastAsia="zh-CN"/>
        </w:rPr>
        <w:drawing>
          <wp:inline distT="0" distB="0" distL="114300" distR="114300">
            <wp:extent cx="6101715" cy="8860155"/>
            <wp:effectExtent l="0" t="0" r="9525" b="9525"/>
            <wp:docPr id="38" name="图片 38" descr="合同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合同8"/>
                    <pic:cNvPicPr>
                      <a:picLocks noChangeAspect="1"/>
                    </pic:cNvPicPr>
                  </pic:nvPicPr>
                  <pic:blipFill>
                    <a:blip r:embed="rId51"/>
                    <a:stretch>
                      <a:fillRect/>
                    </a:stretch>
                  </pic:blipFill>
                  <pic:spPr>
                    <a:xfrm>
                      <a:off x="0" y="0"/>
                      <a:ext cx="6101715" cy="8860155"/>
                    </a:xfrm>
                    <a:prstGeom prst="rect">
                      <a:avLst/>
                    </a:prstGeom>
                  </pic:spPr>
                </pic:pic>
              </a:graphicData>
            </a:graphic>
          </wp:inline>
        </w:drawing>
      </w:r>
      <w:r>
        <w:rPr>
          <w:rFonts w:hint="eastAsia" w:eastAsia="仿宋"/>
          <w:lang w:eastAsia="zh-CN"/>
        </w:rPr>
        <w:drawing>
          <wp:inline distT="0" distB="0" distL="114300" distR="114300">
            <wp:extent cx="6054725" cy="8854440"/>
            <wp:effectExtent l="0" t="0" r="10795" b="0"/>
            <wp:docPr id="37" name="图片 37" descr="合同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合同9"/>
                    <pic:cNvPicPr>
                      <a:picLocks noChangeAspect="1"/>
                    </pic:cNvPicPr>
                  </pic:nvPicPr>
                  <pic:blipFill>
                    <a:blip r:embed="rId52"/>
                    <a:stretch>
                      <a:fillRect/>
                    </a:stretch>
                  </pic:blipFill>
                  <pic:spPr>
                    <a:xfrm>
                      <a:off x="0" y="0"/>
                      <a:ext cx="6054725" cy="8854440"/>
                    </a:xfrm>
                    <a:prstGeom prst="rect">
                      <a:avLst/>
                    </a:prstGeom>
                  </pic:spPr>
                </pic:pic>
              </a:graphicData>
            </a:graphic>
          </wp:inline>
        </w:drawing>
      </w:r>
      <w:r>
        <w:rPr>
          <w:rFonts w:hint="eastAsia" w:eastAsia="仿宋"/>
          <w:lang w:eastAsia="zh-CN"/>
        </w:rPr>
        <w:drawing>
          <wp:inline distT="0" distB="0" distL="114300" distR="114300">
            <wp:extent cx="5916295" cy="8847455"/>
            <wp:effectExtent l="0" t="0" r="12065" b="6985"/>
            <wp:docPr id="36" name="图片 36" descr="合同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合同10"/>
                    <pic:cNvPicPr>
                      <a:picLocks noChangeAspect="1"/>
                    </pic:cNvPicPr>
                  </pic:nvPicPr>
                  <pic:blipFill>
                    <a:blip r:embed="rId53"/>
                    <a:stretch>
                      <a:fillRect/>
                    </a:stretch>
                  </pic:blipFill>
                  <pic:spPr>
                    <a:xfrm>
                      <a:off x="0" y="0"/>
                      <a:ext cx="5916295" cy="8847455"/>
                    </a:xfrm>
                    <a:prstGeom prst="rect">
                      <a:avLst/>
                    </a:prstGeom>
                  </pic:spPr>
                </pic:pic>
              </a:graphicData>
            </a:graphic>
          </wp:inline>
        </w:drawing>
      </w:r>
      <w:r>
        <w:rPr>
          <w:rFonts w:hint="eastAsia" w:eastAsia="仿宋"/>
          <w:lang w:eastAsia="zh-CN"/>
        </w:rPr>
        <w:drawing>
          <wp:inline distT="0" distB="0" distL="114300" distR="114300">
            <wp:extent cx="5897245" cy="8851265"/>
            <wp:effectExtent l="0" t="0" r="635" b="3175"/>
            <wp:docPr id="35" name="图片 35" descr="合同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合同11"/>
                    <pic:cNvPicPr>
                      <a:picLocks noChangeAspect="1"/>
                    </pic:cNvPicPr>
                  </pic:nvPicPr>
                  <pic:blipFill>
                    <a:blip r:embed="rId54"/>
                    <a:stretch>
                      <a:fillRect/>
                    </a:stretch>
                  </pic:blipFill>
                  <pic:spPr>
                    <a:xfrm>
                      <a:off x="0" y="0"/>
                      <a:ext cx="5897245" cy="8851265"/>
                    </a:xfrm>
                    <a:prstGeom prst="rect">
                      <a:avLst/>
                    </a:prstGeom>
                  </pic:spPr>
                </pic:pic>
              </a:graphicData>
            </a:graphic>
          </wp:inline>
        </w:drawing>
      </w:r>
      <w:r>
        <w:rPr>
          <w:rFonts w:ascii="Times New Roman" w:hAnsi="Times New Roman" w:cs="Times New Roman"/>
          <w:b/>
          <w:bCs/>
          <w:color w:val="000000" w:themeColor="text1"/>
          <w:kern w:val="44"/>
          <w:sz w:val="24"/>
          <w:szCs w:val="24"/>
        </w:rPr>
        <w:br w:type="page"/>
      </w:r>
      <w:bookmarkEnd w:id="1339"/>
    </w:p>
    <w:p>
      <w:pPr>
        <w:keepNext/>
        <w:keepLines/>
        <w:spacing w:beforeLines="150" w:line="360" w:lineRule="auto"/>
        <w:ind w:left="487" w:hanging="487" w:hangingChars="202"/>
        <w:jc w:val="left"/>
        <w:outlineLvl w:val="1"/>
        <w:rPr>
          <w:rFonts w:ascii="Times New Roman" w:hAnsi="Times New Roman" w:cs="Times New Roman"/>
          <w:b/>
          <w:bCs/>
          <w:color w:val="000000" w:themeColor="text1"/>
          <w:sz w:val="24"/>
          <w:szCs w:val="24"/>
        </w:rPr>
      </w:pPr>
      <w:bookmarkStart w:id="1340" w:name="_Toc23114"/>
      <w:bookmarkStart w:id="1341" w:name="_Toc3121"/>
      <w:bookmarkStart w:id="1342" w:name="_Toc8283"/>
      <w:r>
        <w:rPr>
          <w:rFonts w:ascii="Times New Roman" w:hAnsi="Times New Roman" w:cs="Times New Roman"/>
          <w:b/>
          <w:bCs/>
          <w:color w:val="000000" w:themeColor="text1"/>
          <w:sz w:val="24"/>
          <w:szCs w:val="24"/>
        </w:rPr>
        <w:t>附件八：《中国</w:t>
      </w:r>
      <w:r>
        <w:rPr>
          <w:rFonts w:hint="eastAsia" w:ascii="Times New Roman" w:hAnsi="Times New Roman" w:cs="Times New Roman"/>
          <w:b/>
          <w:bCs/>
          <w:color w:val="000000" w:themeColor="text1"/>
          <w:sz w:val="24"/>
          <w:szCs w:val="24"/>
          <w:lang w:val="en-US" w:eastAsia="zh-CN"/>
        </w:rPr>
        <w:t>石油天然气</w:t>
      </w:r>
      <w:r>
        <w:rPr>
          <w:rFonts w:ascii="Times New Roman" w:hAnsi="Times New Roman" w:cs="Times New Roman"/>
          <w:b/>
          <w:bCs/>
          <w:color w:val="000000" w:themeColor="text1"/>
          <w:sz w:val="24"/>
          <w:szCs w:val="24"/>
        </w:rPr>
        <w:t>股份有限公司江西南昌</w:t>
      </w:r>
      <w:r>
        <w:rPr>
          <w:rFonts w:hint="eastAsia" w:ascii="Times New Roman" w:hAnsi="Times New Roman" w:cs="Times New Roman"/>
          <w:b/>
          <w:bCs/>
          <w:color w:val="000000" w:themeColor="text1"/>
          <w:sz w:val="24"/>
          <w:szCs w:val="24"/>
          <w:lang w:val="en-US" w:eastAsia="zh-CN"/>
        </w:rPr>
        <w:t>双港大道</w:t>
      </w:r>
      <w:r>
        <w:rPr>
          <w:rFonts w:ascii="Times New Roman" w:hAnsi="Times New Roman" w:cs="Times New Roman"/>
          <w:b/>
          <w:bCs/>
          <w:color w:val="000000" w:themeColor="text1"/>
          <w:sz w:val="24"/>
          <w:szCs w:val="24"/>
        </w:rPr>
        <w:t>加油站关于成立突发环境预案资料编制领导小组的通知》</w:t>
      </w:r>
      <w:bookmarkEnd w:id="1340"/>
      <w:bookmarkEnd w:id="1341"/>
      <w:bookmarkEnd w:id="1342"/>
    </w:p>
    <w:p>
      <w:pPr>
        <w:spacing w:line="600" w:lineRule="exact"/>
        <w:jc w:val="center"/>
        <w:rPr>
          <w:rFonts w:ascii="Times New Roman" w:hAnsi="Times New Roman" w:cs="Times New Roman"/>
          <w:b/>
          <w:bCs/>
          <w:color w:val="000000" w:themeColor="text1"/>
          <w:sz w:val="24"/>
          <w:szCs w:val="24"/>
        </w:rPr>
      </w:pPr>
      <w:bookmarkStart w:id="1343" w:name="_Toc25753_WPSOffice_Level1"/>
      <w:bookmarkStart w:id="1344" w:name="_Toc992_WPSOffice_Level1"/>
      <w:bookmarkStart w:id="1345" w:name="_Toc18826_WPSOffice_Level1"/>
      <w:bookmarkStart w:id="1346" w:name="_Toc3286_WPSOffice_Level1"/>
      <w:bookmarkStart w:id="1347" w:name="_Toc20889_WPSOffice_Level1"/>
      <w:bookmarkStart w:id="1348" w:name="_Toc14371_WPSOffice_Level1"/>
      <w:r>
        <w:rPr>
          <w:rFonts w:ascii="Times New Roman" w:hAnsi="Times New Roman" w:cs="Times New Roman"/>
          <w:b/>
          <w:bCs/>
          <w:color w:val="000000" w:themeColor="text1"/>
          <w:sz w:val="24"/>
          <w:szCs w:val="24"/>
        </w:rPr>
        <w:t>关于成立</w:t>
      </w:r>
      <w:bookmarkEnd w:id="1343"/>
      <w:bookmarkEnd w:id="1344"/>
      <w:bookmarkEnd w:id="1345"/>
      <w:bookmarkEnd w:id="1346"/>
      <w:bookmarkEnd w:id="1347"/>
      <w:bookmarkEnd w:id="1348"/>
      <w:r>
        <w:rPr>
          <w:rFonts w:ascii="Times New Roman" w:hAnsi="Times New Roman" w:cs="Times New Roman"/>
          <w:b/>
          <w:bCs/>
          <w:color w:val="000000" w:themeColor="text1"/>
          <w:sz w:val="24"/>
          <w:szCs w:val="24"/>
        </w:rPr>
        <w:t>中国</w:t>
      </w:r>
      <w:r>
        <w:rPr>
          <w:rFonts w:hint="eastAsia" w:ascii="Times New Roman" w:hAnsi="Times New Roman" w:cs="Times New Roman"/>
          <w:b/>
          <w:bCs/>
          <w:color w:val="000000" w:themeColor="text1"/>
          <w:sz w:val="24"/>
          <w:szCs w:val="24"/>
          <w:lang w:val="en-US" w:eastAsia="zh-CN"/>
        </w:rPr>
        <w:t>石油天然气</w:t>
      </w:r>
      <w:r>
        <w:rPr>
          <w:rFonts w:ascii="Times New Roman" w:hAnsi="Times New Roman" w:cs="Times New Roman"/>
          <w:b/>
          <w:bCs/>
          <w:color w:val="000000" w:themeColor="text1"/>
          <w:sz w:val="24"/>
          <w:szCs w:val="24"/>
        </w:rPr>
        <w:t>股份有限公司江西南昌</w:t>
      </w:r>
      <w:r>
        <w:rPr>
          <w:rFonts w:hint="eastAsia" w:ascii="Times New Roman" w:hAnsi="Times New Roman" w:cs="Times New Roman"/>
          <w:b/>
          <w:bCs/>
          <w:color w:val="000000" w:themeColor="text1"/>
          <w:sz w:val="24"/>
          <w:szCs w:val="24"/>
          <w:lang w:val="en-US" w:eastAsia="zh-CN"/>
        </w:rPr>
        <w:t>双港大道</w:t>
      </w:r>
      <w:r>
        <w:rPr>
          <w:rFonts w:ascii="Times New Roman" w:hAnsi="Times New Roman" w:cs="Times New Roman"/>
          <w:b/>
          <w:bCs/>
          <w:color w:val="000000" w:themeColor="text1"/>
          <w:sz w:val="24"/>
          <w:szCs w:val="24"/>
        </w:rPr>
        <w:t>加油站</w:t>
      </w:r>
    </w:p>
    <w:p>
      <w:pPr>
        <w:spacing w:line="600" w:lineRule="exact"/>
        <w:jc w:val="center"/>
        <w:rPr>
          <w:rFonts w:ascii="Times New Roman" w:hAnsi="Times New Roman" w:cs="Times New Roman"/>
          <w:b/>
          <w:bCs/>
          <w:color w:val="000000" w:themeColor="text1"/>
          <w:sz w:val="24"/>
          <w:szCs w:val="24"/>
        </w:rPr>
      </w:pPr>
      <w:bookmarkStart w:id="1349" w:name="_Toc12429_WPSOffice_Level1"/>
      <w:bookmarkStart w:id="1350" w:name="_Toc653_WPSOffice_Level1"/>
      <w:bookmarkStart w:id="1351" w:name="_Toc6831_WPSOffice_Level1"/>
      <w:bookmarkStart w:id="1352" w:name="_Toc29995_WPSOffice_Level1"/>
      <w:bookmarkStart w:id="1353" w:name="_Toc5741_WPSOffice_Level1"/>
      <w:bookmarkStart w:id="1354" w:name="_Toc31637_WPSOffice_Level1"/>
      <w:r>
        <w:rPr>
          <w:rFonts w:ascii="Times New Roman" w:hAnsi="Times New Roman" w:cs="Times New Roman"/>
          <w:b/>
          <w:bCs/>
          <w:color w:val="000000" w:themeColor="text1"/>
          <w:sz w:val="24"/>
          <w:szCs w:val="24"/>
        </w:rPr>
        <w:t>突发环境事件应急预案编制领导小组的通知</w:t>
      </w:r>
      <w:bookmarkEnd w:id="1349"/>
      <w:bookmarkEnd w:id="1350"/>
      <w:bookmarkEnd w:id="1351"/>
      <w:bookmarkEnd w:id="1352"/>
      <w:bookmarkEnd w:id="1353"/>
      <w:bookmarkEnd w:id="1354"/>
    </w:p>
    <w:p>
      <w:pPr>
        <w:spacing w:line="6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为了高效、实用、完整地编制本加油站突发环境事件应急预案，特成立编制领导小组，根据编制工作需</w:t>
      </w:r>
      <w:r>
        <w:rPr>
          <w:rFonts w:ascii="Times New Roman" w:hAnsi="Times New Roman" w:cs="Times New Roman"/>
          <w:b w:val="0"/>
          <w:bCs w:val="0"/>
          <w:color w:val="000000" w:themeColor="text1"/>
          <w:sz w:val="24"/>
          <w:szCs w:val="24"/>
        </w:rPr>
        <w:t>要，各成员按组长工作安排，共同配合组长完成编制《中国</w:t>
      </w:r>
      <w:r>
        <w:rPr>
          <w:rFonts w:hint="eastAsia" w:ascii="Times New Roman" w:hAnsi="Times New Roman" w:cs="Times New Roman"/>
          <w:b w:val="0"/>
          <w:bCs w:val="0"/>
          <w:color w:val="000000" w:themeColor="text1"/>
          <w:sz w:val="24"/>
          <w:szCs w:val="24"/>
          <w:lang w:val="en-US" w:eastAsia="zh-CN"/>
        </w:rPr>
        <w:t>石油天然气</w:t>
      </w:r>
      <w:r>
        <w:rPr>
          <w:rFonts w:ascii="Times New Roman" w:hAnsi="Times New Roman" w:cs="Times New Roman"/>
          <w:b w:val="0"/>
          <w:bCs w:val="0"/>
          <w:color w:val="000000" w:themeColor="text1"/>
          <w:sz w:val="24"/>
          <w:szCs w:val="24"/>
        </w:rPr>
        <w:t>股份有限公司江西南昌</w:t>
      </w:r>
      <w:r>
        <w:rPr>
          <w:rFonts w:hint="eastAsia" w:ascii="Times New Roman" w:hAnsi="Times New Roman" w:cs="Times New Roman"/>
          <w:b w:val="0"/>
          <w:bCs w:val="0"/>
          <w:color w:val="000000" w:themeColor="text1"/>
          <w:sz w:val="24"/>
          <w:szCs w:val="24"/>
          <w:lang w:val="en-US" w:eastAsia="zh-CN"/>
        </w:rPr>
        <w:t>双港大道</w:t>
      </w:r>
      <w:r>
        <w:rPr>
          <w:rFonts w:ascii="Times New Roman" w:hAnsi="Times New Roman" w:cs="Times New Roman"/>
          <w:b w:val="0"/>
          <w:bCs w:val="0"/>
          <w:color w:val="000000" w:themeColor="text1"/>
          <w:sz w:val="24"/>
          <w:szCs w:val="24"/>
        </w:rPr>
        <w:t>加油站突发环境事件应急预案》。</w:t>
      </w:r>
    </w:p>
    <w:p>
      <w:pPr>
        <w:spacing w:line="6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组  长：</w:t>
      </w:r>
    </w:p>
    <w:p>
      <w:pPr>
        <w:spacing w:line="6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副组长：</w:t>
      </w:r>
    </w:p>
    <w:p>
      <w:pPr>
        <w:spacing w:line="6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成  员：</w:t>
      </w:r>
    </w:p>
    <w:p>
      <w:pPr>
        <w:spacing w:line="6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审  核：</w:t>
      </w:r>
    </w:p>
    <w:p>
      <w:pPr>
        <w:spacing w:line="600" w:lineRule="exact"/>
        <w:ind w:firstLine="480" w:firstLineChars="20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应急预案编写完成后，须内部进行评审，内部评审完成后。聘请外部专家评估，经专家评估合格后发布实施，并报送南昌</w:t>
      </w:r>
      <w:r>
        <w:rPr>
          <w:rFonts w:hint="eastAsia" w:ascii="Times New Roman" w:hAnsi="Times New Roman" w:cs="Times New Roman"/>
          <w:color w:val="000000" w:themeColor="text1"/>
          <w:sz w:val="24"/>
          <w:szCs w:val="24"/>
          <w:lang w:val="en-US" w:eastAsia="zh-CN"/>
        </w:rPr>
        <w:t>市</w:t>
      </w:r>
      <w:r>
        <w:rPr>
          <w:rFonts w:ascii="Times New Roman" w:hAnsi="Times New Roman" w:cs="Times New Roman"/>
          <w:color w:val="000000" w:themeColor="text1"/>
          <w:sz w:val="24"/>
          <w:szCs w:val="24"/>
        </w:rPr>
        <w:t>环境保护局备案。</w:t>
      </w:r>
    </w:p>
    <w:p>
      <w:pPr>
        <w:spacing w:line="600" w:lineRule="exact"/>
        <w:rPr>
          <w:rFonts w:ascii="Times New Roman" w:hAnsi="Times New Roman" w:cs="Times New Roman"/>
          <w:color w:val="000000" w:themeColor="text1"/>
          <w:sz w:val="24"/>
          <w:szCs w:val="24"/>
        </w:rPr>
      </w:pPr>
    </w:p>
    <w:p>
      <w:pPr>
        <w:overflowPunct w:val="0"/>
        <w:topLinePunct/>
        <w:spacing w:line="360" w:lineRule="auto"/>
        <w:ind w:firstLine="496" w:firstLineChars="200"/>
        <w:rPr>
          <w:rFonts w:ascii="Times New Roman" w:hAnsi="Times New Roman" w:cs="Times New Roman"/>
          <w:color w:val="000000" w:themeColor="text1"/>
          <w:spacing w:val="4"/>
          <w:sz w:val="24"/>
          <w:szCs w:val="24"/>
        </w:rPr>
      </w:pPr>
    </w:p>
    <w:p>
      <w:pPr>
        <w:spacing w:line="600" w:lineRule="exact"/>
        <w:jc w:val="right"/>
        <w:rPr>
          <w:rFonts w:ascii="Times New Roman" w:hAnsi="Times New Roman" w:cs="Times New Roman"/>
          <w:color w:val="000000" w:themeColor="text1"/>
          <w:sz w:val="24"/>
          <w:szCs w:val="24"/>
        </w:rPr>
      </w:pPr>
      <w:r>
        <w:rPr>
          <w:rFonts w:ascii="Times New Roman" w:hAnsi="Times New Roman" w:cs="Times New Roman"/>
          <w:b w:val="0"/>
          <w:bCs w:val="0"/>
          <w:color w:val="000000" w:themeColor="text1"/>
          <w:sz w:val="24"/>
          <w:szCs w:val="24"/>
        </w:rPr>
        <w:t>中国</w:t>
      </w:r>
      <w:r>
        <w:rPr>
          <w:rFonts w:hint="eastAsia" w:ascii="Times New Roman" w:hAnsi="Times New Roman" w:cs="Times New Roman"/>
          <w:b w:val="0"/>
          <w:bCs w:val="0"/>
          <w:color w:val="000000" w:themeColor="text1"/>
          <w:sz w:val="24"/>
          <w:szCs w:val="24"/>
          <w:lang w:val="en-US" w:eastAsia="zh-CN"/>
        </w:rPr>
        <w:t>石油天然气</w:t>
      </w:r>
      <w:r>
        <w:rPr>
          <w:rFonts w:ascii="Times New Roman" w:hAnsi="Times New Roman" w:cs="Times New Roman"/>
          <w:b w:val="0"/>
          <w:bCs w:val="0"/>
          <w:color w:val="000000" w:themeColor="text1"/>
          <w:sz w:val="24"/>
          <w:szCs w:val="24"/>
        </w:rPr>
        <w:t>股份有限公司江西南昌</w:t>
      </w:r>
      <w:r>
        <w:rPr>
          <w:rFonts w:hint="eastAsia" w:ascii="Times New Roman" w:hAnsi="Times New Roman" w:cs="Times New Roman"/>
          <w:b w:val="0"/>
          <w:bCs w:val="0"/>
          <w:color w:val="000000" w:themeColor="text1"/>
          <w:sz w:val="24"/>
          <w:szCs w:val="24"/>
          <w:lang w:val="en-US" w:eastAsia="zh-CN"/>
        </w:rPr>
        <w:t>双港大道</w:t>
      </w:r>
      <w:r>
        <w:rPr>
          <w:rFonts w:ascii="Times New Roman" w:hAnsi="Times New Roman" w:cs="Times New Roman"/>
          <w:b w:val="0"/>
          <w:bCs w:val="0"/>
          <w:color w:val="000000" w:themeColor="text1"/>
          <w:sz w:val="24"/>
          <w:szCs w:val="24"/>
        </w:rPr>
        <w:t>加油站</w:t>
      </w:r>
    </w:p>
    <w:p>
      <w:pPr>
        <w:spacing w:line="600" w:lineRule="exact"/>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2019年</w:t>
      </w:r>
      <w:r>
        <w:rPr>
          <w:rFonts w:hint="eastAsia" w:ascii="Times New Roman" w:hAnsi="Times New Roman" w:cs="Times New Roman"/>
          <w:color w:val="000000" w:themeColor="text1"/>
          <w:sz w:val="24"/>
          <w:szCs w:val="24"/>
          <w:lang w:val="en-US" w:eastAsia="zh-CN"/>
        </w:rPr>
        <w:t>11</w:t>
      </w:r>
      <w:r>
        <w:rPr>
          <w:rFonts w:ascii="Times New Roman" w:hAnsi="Times New Roman" w:cs="Times New Roman"/>
          <w:color w:val="000000" w:themeColor="text1"/>
          <w:sz w:val="24"/>
          <w:szCs w:val="24"/>
        </w:rPr>
        <w:t>月5日</w:t>
      </w:r>
    </w:p>
    <w:p>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pPr>
        <w:keepNext/>
        <w:keepLines/>
        <w:spacing w:beforeLines="150" w:line="360" w:lineRule="auto"/>
        <w:ind w:left="487" w:hanging="487" w:hangingChars="202"/>
        <w:jc w:val="left"/>
        <w:outlineLvl w:val="1"/>
        <w:rPr>
          <w:rFonts w:ascii="Times New Roman" w:hAnsi="Times New Roman" w:cs="Times New Roman"/>
          <w:b/>
          <w:bCs/>
          <w:color w:val="000000" w:themeColor="text1"/>
          <w:sz w:val="24"/>
          <w:szCs w:val="24"/>
        </w:rPr>
      </w:pPr>
      <w:bookmarkStart w:id="1355" w:name="_Toc22413"/>
      <w:bookmarkStart w:id="1356" w:name="_Toc27028"/>
      <w:bookmarkStart w:id="1357" w:name="_Toc17112"/>
      <w:r>
        <w:rPr>
          <w:rFonts w:ascii="Times New Roman" w:hAnsi="Times New Roman" w:cs="Times New Roman"/>
          <w:b/>
          <w:bCs/>
          <w:color w:val="000000" w:themeColor="text1"/>
          <w:sz w:val="24"/>
          <w:szCs w:val="24"/>
        </w:rPr>
        <w:t>附件九：环保应急处置卡</w:t>
      </w:r>
      <w:bookmarkEnd w:id="1355"/>
      <w:bookmarkEnd w:id="1356"/>
      <w:bookmarkEnd w:id="1357"/>
    </w:p>
    <w:p>
      <w:pPr>
        <w:jc w:val="center"/>
        <w:rPr>
          <w:rFonts w:ascii="Times New Roman" w:hAnsi="Times New Roman" w:cs="Times New Roman"/>
          <w:color w:val="000000" w:themeColor="text1"/>
          <w:sz w:val="24"/>
          <w:szCs w:val="24"/>
        </w:rPr>
      </w:pPr>
      <w:bookmarkStart w:id="1358" w:name="_Toc14323_WPSOffice_Level1"/>
      <w:bookmarkStart w:id="1359" w:name="_Toc17781_WPSOffice_Level1"/>
      <w:bookmarkStart w:id="1360" w:name="_Toc14635_WPSOffice_Level1"/>
      <w:bookmarkStart w:id="1361" w:name="_Toc14340_WPSOffice_Level1"/>
      <w:bookmarkStart w:id="1362" w:name="_Toc9618_WPSOffice_Level1"/>
      <w:bookmarkStart w:id="1363" w:name="_Toc21921_WPSOffice_Level1"/>
      <w:r>
        <w:rPr>
          <w:rFonts w:ascii="Times New Roman" w:hAnsi="Times New Roman" w:cs="Times New Roman"/>
          <w:b/>
          <w:color w:val="000000" w:themeColor="text1"/>
          <w:sz w:val="24"/>
          <w:szCs w:val="24"/>
        </w:rPr>
        <w:t>×××岗位应急卡</w:t>
      </w:r>
      <w:bookmarkEnd w:id="1358"/>
      <w:bookmarkEnd w:id="1359"/>
      <w:bookmarkEnd w:id="1360"/>
      <w:bookmarkEnd w:id="1361"/>
      <w:bookmarkEnd w:id="1362"/>
      <w:bookmarkEnd w:id="1363"/>
    </w:p>
    <w:tbl>
      <w:tblPr>
        <w:tblStyle w:val="14"/>
        <w:tblW w:w="9731" w:type="dxa"/>
        <w:tblInd w:w="103"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658"/>
        <w:gridCol w:w="524"/>
        <w:gridCol w:w="1922"/>
        <w:gridCol w:w="2709"/>
        <w:gridCol w:w="291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64" w:hRule="atLeast"/>
        </w:trPr>
        <w:tc>
          <w:tcPr>
            <w:tcW w:w="2182" w:type="dxa"/>
            <w:gridSpan w:val="2"/>
            <w:vAlign w:val="center"/>
          </w:tcPr>
          <w:p>
            <w:pPr>
              <w:widowControl/>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岗位名称</w:t>
            </w:r>
          </w:p>
        </w:tc>
        <w:tc>
          <w:tcPr>
            <w:tcW w:w="7549" w:type="dxa"/>
            <w:gridSpan w:val="3"/>
            <w:vAlign w:val="bottom"/>
          </w:tcPr>
          <w:p>
            <w:pPr>
              <w:widowControl/>
              <w:jc w:val="center"/>
              <w:rPr>
                <w:rFonts w:ascii="Times New Roman" w:hAnsi="Times New Roman" w:cs="Times New Roman"/>
                <w:color w:val="000000" w:themeColor="text1"/>
                <w:kern w:val="0"/>
                <w:sz w:val="24"/>
                <w:szCs w:val="24"/>
              </w:rPr>
            </w:pPr>
            <w:r>
              <w:rPr>
                <w:rFonts w:ascii="Times New Roman" w:hAnsi="Times New Roman" w:cs="Times New Roman"/>
                <w:bCs/>
                <w:color w:val="000000" w:themeColor="text1"/>
                <w:kern w:val="0"/>
                <w:sz w:val="24"/>
                <w:szCs w:val="24"/>
              </w:rPr>
              <w:t>×××操作岗位</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2182" w:type="dxa"/>
            <w:gridSpan w:val="2"/>
            <w:vAlign w:val="center"/>
          </w:tcPr>
          <w:p>
            <w:pPr>
              <w:widowControl/>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关键工艺参数</w:t>
            </w:r>
          </w:p>
        </w:tc>
        <w:tc>
          <w:tcPr>
            <w:tcW w:w="7549" w:type="dxa"/>
            <w:gridSpan w:val="3"/>
            <w:vAlign w:val="bottom"/>
          </w:tcPr>
          <w:p>
            <w:pPr>
              <w:widowControl/>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操作压力、温度等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2182" w:type="dxa"/>
            <w:gridSpan w:val="2"/>
            <w:vAlign w:val="center"/>
          </w:tcPr>
          <w:p>
            <w:pPr>
              <w:widowControl/>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岗位操作要点</w:t>
            </w:r>
          </w:p>
        </w:tc>
        <w:tc>
          <w:tcPr>
            <w:tcW w:w="7549" w:type="dxa"/>
            <w:gridSpan w:val="3"/>
            <w:vAlign w:val="bottom"/>
          </w:tcPr>
          <w:p>
            <w:pPr>
              <w:widowControl/>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操作压力、温度、反应时间等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2182" w:type="dxa"/>
            <w:gridSpan w:val="2"/>
            <w:vAlign w:val="center"/>
          </w:tcPr>
          <w:p>
            <w:pPr>
              <w:widowControl/>
              <w:jc w:val="cente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岗位应急处置装备</w:t>
            </w:r>
          </w:p>
        </w:tc>
        <w:tc>
          <w:tcPr>
            <w:tcW w:w="7549" w:type="dxa"/>
            <w:gridSpan w:val="3"/>
            <w:vAlign w:val="bottom"/>
          </w:tcPr>
          <w:p>
            <w:pPr>
              <w:widowControl/>
              <w:rPr>
                <w:rFonts w:ascii="Times New Roman" w:hAnsi="Times New Roman" w:cs="Times New Roman"/>
                <w:color w:val="000000" w:themeColor="text1"/>
                <w:kern w:val="0"/>
                <w:sz w:val="24"/>
                <w:szCs w:val="24"/>
              </w:rPr>
            </w:pPr>
            <w:r>
              <w:rPr>
                <w:rFonts w:ascii="Times New Roman" w:hAnsi="Times New Roman" w:cs="Times New Roman"/>
                <w:color w:val="000000" w:themeColor="text1"/>
                <w:kern w:val="0"/>
                <w:sz w:val="24"/>
                <w:szCs w:val="24"/>
              </w:rPr>
              <w:t>防毒面具、防护手套、灭火器、应急药品等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484" w:hRule="atLeast"/>
        </w:trPr>
        <w:tc>
          <w:tcPr>
            <w:tcW w:w="9731" w:type="dxa"/>
            <w:gridSpan w:val="5"/>
          </w:tcPr>
          <w:p>
            <w:pP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应急处置注意事项：</w:t>
            </w:r>
          </w:p>
          <w:p>
            <w:pPr>
              <w:numPr>
                <w:ilvl w:val="0"/>
                <w:numId w:val="4"/>
              </w:numPr>
              <w:ind w:hanging="387"/>
              <w:rPr>
                <w:rFonts w:ascii="Times New Roman" w:hAnsi="Times New Roman" w:cs="Times New Roman"/>
                <w:color w:val="000000" w:themeColor="text1"/>
                <w:sz w:val="24"/>
                <w:szCs w:val="24"/>
              </w:rPr>
            </w:pPr>
            <w:r>
              <w:rPr>
                <w:rFonts w:ascii="Times New Roman" w:hAnsi="Times New Roman" w:cs="Times New Roman"/>
                <w:color w:val="000000" w:themeColor="text1"/>
                <w:kern w:val="0"/>
                <w:sz w:val="24"/>
                <w:szCs w:val="24"/>
              </w:rPr>
              <w:t>掌握风向：观察风向，注意上风向撤离路线和地点。</w:t>
            </w:r>
          </w:p>
          <w:p>
            <w:pPr>
              <w:numPr>
                <w:ilvl w:val="0"/>
                <w:numId w:val="4"/>
              </w:numPr>
              <w:ind w:hanging="387"/>
              <w:rPr>
                <w:rFonts w:ascii="Times New Roman" w:hAnsi="Times New Roman" w:cs="Times New Roman"/>
                <w:color w:val="000000" w:themeColor="text1"/>
                <w:sz w:val="24"/>
                <w:szCs w:val="24"/>
              </w:rPr>
            </w:pPr>
            <w:r>
              <w:rPr>
                <w:rFonts w:ascii="Times New Roman" w:hAnsi="Times New Roman" w:cs="Times New Roman"/>
                <w:color w:val="000000" w:themeColor="text1"/>
                <w:kern w:val="0"/>
                <w:sz w:val="24"/>
                <w:szCs w:val="24"/>
              </w:rPr>
              <w:t>上报时限：发生异常情况，立即报告公司主管。</w:t>
            </w:r>
          </w:p>
          <w:p>
            <w:pPr>
              <w:numPr>
                <w:ilvl w:val="0"/>
                <w:numId w:val="4"/>
              </w:numPr>
              <w:ind w:hanging="387"/>
              <w:rPr>
                <w:rFonts w:ascii="Times New Roman" w:hAnsi="Times New Roman" w:cs="Times New Roman"/>
                <w:color w:val="000000" w:themeColor="text1"/>
                <w:sz w:val="24"/>
                <w:szCs w:val="24"/>
              </w:rPr>
            </w:pPr>
            <w:r>
              <w:rPr>
                <w:rFonts w:ascii="Times New Roman" w:hAnsi="Times New Roman" w:cs="Times New Roman"/>
                <w:color w:val="000000" w:themeColor="text1"/>
                <w:kern w:val="0"/>
                <w:sz w:val="24"/>
                <w:szCs w:val="24"/>
              </w:rPr>
              <w:t>应急联络：</w:t>
            </w:r>
            <w:r>
              <w:rPr>
                <w:rFonts w:hint="eastAsia" w:ascii="宋体" w:hAnsi="宋体" w:eastAsia="宋体" w:cs="宋体"/>
                <w:color w:val="000000" w:themeColor="text1"/>
                <w:kern w:val="0"/>
                <w:sz w:val="24"/>
                <w:szCs w:val="24"/>
              </w:rPr>
              <w:t>①</w:t>
            </w:r>
            <w:r>
              <w:rPr>
                <w:rFonts w:ascii="Times New Roman" w:hAnsi="Times New Roman" w:cs="Times New Roman"/>
                <w:bCs/>
                <w:color w:val="000000" w:themeColor="text1"/>
                <w:kern w:val="0"/>
                <w:sz w:val="24"/>
                <w:szCs w:val="24"/>
              </w:rPr>
              <w:t>前后工序联系确认，</w:t>
            </w:r>
            <w:r>
              <w:rPr>
                <w:rFonts w:hint="eastAsia" w:ascii="宋体" w:hAnsi="宋体" w:eastAsia="宋体" w:cs="宋体"/>
                <w:bCs/>
                <w:color w:val="000000" w:themeColor="text1"/>
                <w:kern w:val="0"/>
                <w:sz w:val="24"/>
                <w:szCs w:val="24"/>
              </w:rPr>
              <w:t>②</w:t>
            </w:r>
            <w:r>
              <w:rPr>
                <w:rFonts w:ascii="Times New Roman" w:hAnsi="Times New Roman" w:cs="Times New Roman"/>
                <w:bCs/>
                <w:color w:val="000000" w:themeColor="text1"/>
                <w:kern w:val="0"/>
                <w:sz w:val="24"/>
                <w:szCs w:val="24"/>
              </w:rPr>
              <w:t>按照公司内部联络网联络，</w:t>
            </w:r>
            <w:r>
              <w:rPr>
                <w:rFonts w:hint="eastAsia" w:ascii="宋体" w:hAnsi="宋体" w:eastAsia="宋体" w:cs="宋体"/>
                <w:bCs/>
                <w:color w:val="000000" w:themeColor="text1"/>
                <w:kern w:val="0"/>
                <w:sz w:val="24"/>
                <w:szCs w:val="24"/>
              </w:rPr>
              <w:t>③</w:t>
            </w:r>
            <w:r>
              <w:rPr>
                <w:rFonts w:ascii="Times New Roman" w:hAnsi="Times New Roman" w:cs="Times New Roman"/>
                <w:bCs/>
                <w:color w:val="000000" w:themeColor="text1"/>
                <w:kern w:val="0"/>
                <w:sz w:val="24"/>
                <w:szCs w:val="24"/>
              </w:rPr>
              <w:t>根据指令进行外部联络</w:t>
            </w:r>
            <w:r>
              <w:rPr>
                <w:rFonts w:ascii="Times New Roman" w:hAnsi="Times New Roman" w:cs="Times New Roman"/>
                <w:color w:val="000000" w:themeColor="text1"/>
                <w:kern w:val="0"/>
                <w:sz w:val="24"/>
                <w:szCs w:val="24"/>
              </w:rPr>
              <w:t>110；119；120。</w:t>
            </w:r>
          </w:p>
          <w:p>
            <w:pPr>
              <w:numPr>
                <w:ilvl w:val="0"/>
                <w:numId w:val="4"/>
              </w:numPr>
              <w:ind w:hanging="387"/>
              <w:rPr>
                <w:rFonts w:ascii="Times New Roman" w:hAnsi="Times New Roman" w:cs="Times New Roman"/>
                <w:color w:val="000000" w:themeColor="text1"/>
                <w:sz w:val="24"/>
                <w:szCs w:val="24"/>
              </w:rPr>
            </w:pPr>
            <w:r>
              <w:rPr>
                <w:rFonts w:ascii="Times New Roman" w:hAnsi="Times New Roman" w:cs="Times New Roman"/>
                <w:color w:val="000000" w:themeColor="text1"/>
                <w:kern w:val="0"/>
                <w:sz w:val="24"/>
                <w:szCs w:val="24"/>
              </w:rPr>
              <w:t>清点人员：到达撤离现场后，要相互清点人数。</w:t>
            </w:r>
          </w:p>
          <w:p>
            <w:pPr>
              <w:numPr>
                <w:ilvl w:val="0"/>
                <w:numId w:val="4"/>
              </w:numPr>
              <w:ind w:hanging="387"/>
              <w:rPr>
                <w:rFonts w:ascii="Times New Roman" w:hAnsi="Times New Roman" w:cs="Times New Roman"/>
                <w:color w:val="000000" w:themeColor="text1"/>
                <w:sz w:val="24"/>
                <w:szCs w:val="24"/>
              </w:rPr>
            </w:pPr>
            <w:r>
              <w:rPr>
                <w:rFonts w:ascii="Times New Roman" w:hAnsi="Times New Roman" w:cs="Times New Roman"/>
                <w:color w:val="000000" w:themeColor="text1"/>
                <w:kern w:val="0"/>
                <w:sz w:val="24"/>
                <w:szCs w:val="24"/>
              </w:rPr>
              <w:t>异常确认：判断异常情况的起因，影响程度等。</w:t>
            </w:r>
          </w:p>
          <w:p>
            <w:pPr>
              <w:numPr>
                <w:ilvl w:val="0"/>
                <w:numId w:val="4"/>
              </w:numPr>
              <w:ind w:hanging="387"/>
              <w:rPr>
                <w:rFonts w:ascii="Times New Roman" w:hAnsi="Times New Roman" w:cs="Times New Roman"/>
                <w:color w:val="000000" w:themeColor="text1"/>
                <w:sz w:val="24"/>
                <w:szCs w:val="24"/>
              </w:rPr>
            </w:pPr>
            <w:r>
              <w:rPr>
                <w:rFonts w:ascii="Times New Roman" w:hAnsi="Times New Roman" w:cs="Times New Roman"/>
                <w:bCs/>
                <w:color w:val="000000" w:themeColor="text1"/>
                <w:kern w:val="0"/>
                <w:sz w:val="24"/>
                <w:szCs w:val="24"/>
              </w:rPr>
              <w:t>处置事项：避免产生各类火种、个体防护等。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84" w:hRule="atLeast"/>
        </w:trPr>
        <w:tc>
          <w:tcPr>
            <w:tcW w:w="9731" w:type="dxa"/>
            <w:gridSpan w:val="5"/>
          </w:tcPr>
          <w:p>
            <w:pPr>
              <w:rPr>
                <w:rFonts w:ascii="Times New Roman" w:hAnsi="Times New Roman" w:cs="Times New Roman"/>
                <w:b/>
                <w:bCs/>
                <w:color w:val="000000" w:themeColor="text1"/>
                <w:kern w:val="0"/>
                <w:sz w:val="24"/>
                <w:szCs w:val="24"/>
              </w:rPr>
            </w:pPr>
            <w:r>
              <w:rPr>
                <w:rFonts w:ascii="Times New Roman" w:hAnsi="Times New Roman" w:cs="Times New Roman"/>
                <w:b/>
                <w:bCs/>
                <w:color w:val="000000" w:themeColor="text1"/>
                <w:kern w:val="0"/>
                <w:sz w:val="24"/>
                <w:szCs w:val="24"/>
              </w:rPr>
              <w:t>岗位存在危险因素应对措施：</w:t>
            </w:r>
          </w:p>
          <w:p>
            <w:pPr>
              <w:numPr>
                <w:ilvl w:val="0"/>
                <w:numId w:val="5"/>
              </w:numPr>
              <w:ind w:hanging="387"/>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反应温度异常处置措施：</w:t>
            </w:r>
          </w:p>
          <w:p>
            <w:pPr>
              <w:numPr>
                <w:ilvl w:val="0"/>
                <w:numId w:val="5"/>
              </w:numPr>
              <w:ind w:hanging="387"/>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反应压力异常处置措施：</w:t>
            </w:r>
          </w:p>
          <w:p>
            <w:pPr>
              <w:numPr>
                <w:ilvl w:val="0"/>
                <w:numId w:val="5"/>
              </w:numPr>
              <w:ind w:hanging="387"/>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突然停水处置措施：</w:t>
            </w:r>
          </w:p>
          <w:p>
            <w:pPr>
              <w:numPr>
                <w:ilvl w:val="0"/>
                <w:numId w:val="5"/>
              </w:numPr>
              <w:ind w:hanging="387"/>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突然停电处置措施：</w:t>
            </w:r>
          </w:p>
          <w:p>
            <w:pPr>
              <w:numPr>
                <w:ilvl w:val="0"/>
                <w:numId w:val="5"/>
              </w:numPr>
              <w:ind w:hanging="387"/>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物料泄漏处置措施：</w:t>
            </w:r>
            <w:r>
              <w:rPr>
                <w:rFonts w:hint="eastAsia" w:ascii="宋体" w:hAnsi="宋体" w:eastAsia="宋体" w:cs="宋体"/>
                <w:color w:val="000000" w:themeColor="text1"/>
                <w:sz w:val="24"/>
                <w:szCs w:val="24"/>
              </w:rPr>
              <w:t>①</w:t>
            </w:r>
            <w:r>
              <w:rPr>
                <w:rFonts w:ascii="Times New Roman" w:hAnsi="Times New Roman" w:cs="Times New Roman"/>
                <w:color w:val="000000" w:themeColor="text1"/>
                <w:kern w:val="0"/>
                <w:sz w:val="24"/>
                <w:szCs w:val="24"/>
              </w:rPr>
              <w:t>关闭正在工作的打料泵上的关闭按钮；</w:t>
            </w:r>
            <w:r>
              <w:rPr>
                <w:rFonts w:hint="eastAsia" w:ascii="宋体" w:hAnsi="宋体" w:eastAsia="宋体" w:cs="宋体"/>
                <w:color w:val="000000" w:themeColor="text1"/>
                <w:kern w:val="0"/>
                <w:sz w:val="24"/>
                <w:szCs w:val="24"/>
              </w:rPr>
              <w:t>②</w:t>
            </w:r>
            <w:r>
              <w:rPr>
                <w:rFonts w:ascii="Times New Roman" w:hAnsi="Times New Roman" w:cs="Times New Roman"/>
                <w:color w:val="000000" w:themeColor="text1"/>
                <w:sz w:val="24"/>
                <w:szCs w:val="24"/>
              </w:rPr>
              <w:t>查找泄漏源，关</w:t>
            </w:r>
            <w:r>
              <w:rPr>
                <w:rFonts w:ascii="Times New Roman" w:hAnsi="Times New Roman" w:cs="Times New Roman"/>
                <w:color w:val="000000" w:themeColor="text1"/>
                <w:kern w:val="0"/>
                <w:sz w:val="24"/>
                <w:szCs w:val="24"/>
              </w:rPr>
              <w:t>闭泄漏点所在管线前后阀门，若无法关闭的情况下，用干布、木塞等进行堵漏；</w:t>
            </w:r>
            <w:r>
              <w:rPr>
                <w:rFonts w:hint="eastAsia" w:ascii="宋体" w:hAnsi="宋体" w:eastAsia="宋体" w:cs="宋体"/>
                <w:color w:val="000000" w:themeColor="text1"/>
                <w:kern w:val="0"/>
                <w:sz w:val="24"/>
                <w:szCs w:val="24"/>
              </w:rPr>
              <w:t>③</w:t>
            </w:r>
            <w:r>
              <w:rPr>
                <w:rFonts w:ascii="Times New Roman" w:hAnsi="Times New Roman" w:cs="Times New Roman"/>
                <w:color w:val="000000" w:themeColor="text1"/>
                <w:kern w:val="0"/>
                <w:sz w:val="24"/>
                <w:szCs w:val="24"/>
              </w:rPr>
              <w:t>用沙袋围堵泄漏区域，防止进入雨水管网，若进入，关闭区域雨水排水井阀门；</w:t>
            </w:r>
            <w:r>
              <w:rPr>
                <w:rFonts w:hint="eastAsia" w:ascii="宋体" w:hAnsi="宋体" w:eastAsia="宋体" w:cs="宋体"/>
                <w:color w:val="000000" w:themeColor="text1"/>
                <w:kern w:val="0"/>
                <w:sz w:val="24"/>
                <w:szCs w:val="24"/>
              </w:rPr>
              <w:t>④</w:t>
            </w:r>
            <w:r>
              <w:rPr>
                <w:rFonts w:ascii="Times New Roman" w:hAnsi="Times New Roman" w:cs="Times New Roman"/>
                <w:color w:val="000000" w:themeColor="text1"/>
                <w:kern w:val="0"/>
                <w:sz w:val="24"/>
                <w:szCs w:val="24"/>
              </w:rPr>
              <w:t>小量泄漏：用砂土、蛭石或其它惰性材料吸收；</w:t>
            </w:r>
            <w:r>
              <w:rPr>
                <w:rFonts w:hint="eastAsia" w:ascii="宋体" w:hAnsi="宋体" w:eastAsia="宋体" w:cs="宋体"/>
                <w:color w:val="000000" w:themeColor="text1"/>
                <w:kern w:val="0"/>
                <w:sz w:val="24"/>
                <w:szCs w:val="24"/>
              </w:rPr>
              <w:t>⑤</w:t>
            </w:r>
            <w:r>
              <w:rPr>
                <w:rFonts w:ascii="Times New Roman" w:hAnsi="Times New Roman" w:cs="Times New Roman"/>
                <w:color w:val="000000" w:themeColor="text1"/>
                <w:kern w:val="0"/>
                <w:sz w:val="24"/>
                <w:szCs w:val="24"/>
              </w:rPr>
              <w:t>大量泄漏：启动应急救援预案，同时构筑围堤或挖坑收容，用喷雾水稀释或泡沫覆盖，降低蒸汽引发的灾害。用泵转移至槽车或专用收集器内，回收或运至废物处理场所处置。</w:t>
            </w:r>
          </w:p>
          <w:p>
            <w:pPr>
              <w:numPr>
                <w:ilvl w:val="0"/>
                <w:numId w:val="5"/>
              </w:numPr>
              <w:ind w:hanging="387"/>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火灾爆炸处置措施：</w:t>
            </w:r>
            <w:r>
              <w:rPr>
                <w:rFonts w:ascii="Times New Roman" w:hAnsi="Times New Roman" w:cs="Times New Roman"/>
                <w:color w:val="000000" w:themeColor="text1"/>
                <w:kern w:val="0"/>
                <w:sz w:val="24"/>
                <w:szCs w:val="24"/>
              </w:rPr>
              <w:t>立即报告部门主管，部门主管报告公司领导，公司领导报告当地安监局、消防等相关职能部门，启动应急救援预案，并通知周边社区。</w:t>
            </w:r>
          </w:p>
          <w:p>
            <w:pPr>
              <w:numPr>
                <w:ilvl w:val="0"/>
                <w:numId w:val="5"/>
              </w:numPr>
              <w:ind w:hanging="387"/>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中毒灼伤处置措施：</w:t>
            </w:r>
            <w:r>
              <w:rPr>
                <w:rFonts w:hint="eastAsia" w:ascii="宋体" w:hAnsi="宋体" w:eastAsia="宋体" w:cs="宋体"/>
                <w:color w:val="000000" w:themeColor="text1"/>
                <w:sz w:val="24"/>
                <w:szCs w:val="24"/>
              </w:rPr>
              <w:t>①</w:t>
            </w:r>
            <w:r>
              <w:rPr>
                <w:rFonts w:ascii="Times New Roman" w:hAnsi="Times New Roman" w:cs="Times New Roman"/>
                <w:color w:val="000000" w:themeColor="text1"/>
                <w:kern w:val="0"/>
                <w:sz w:val="24"/>
                <w:szCs w:val="24"/>
              </w:rPr>
              <w:t>皮肤或眼睛接触，立即脱去污染的衣着或提起眼睑，用大量流动清水冲洗至少15分钟，并送至专业医院救治；</w:t>
            </w:r>
            <w:r>
              <w:rPr>
                <w:rFonts w:hint="eastAsia" w:ascii="宋体" w:hAnsi="宋体" w:eastAsia="宋体" w:cs="宋体"/>
                <w:color w:val="000000" w:themeColor="text1"/>
                <w:kern w:val="0"/>
                <w:sz w:val="24"/>
                <w:szCs w:val="24"/>
              </w:rPr>
              <w:t>②</w:t>
            </w:r>
            <w:r>
              <w:rPr>
                <w:rFonts w:ascii="Times New Roman" w:hAnsi="Times New Roman" w:cs="Times New Roman"/>
                <w:color w:val="000000" w:themeColor="text1"/>
                <w:kern w:val="0"/>
                <w:sz w:val="24"/>
                <w:szCs w:val="24"/>
              </w:rPr>
              <w:t>若吸入，迅速脱离现场至空气新鲜处，保持呼吸道通畅，如心跳停止，立即进行胸外挤压，如呼吸停止，立即进行人工呼吸，并送至专业医院救治；</w:t>
            </w:r>
            <w:r>
              <w:rPr>
                <w:rFonts w:hint="eastAsia" w:ascii="宋体" w:hAnsi="宋体" w:eastAsia="宋体" w:cs="宋体"/>
                <w:color w:val="000000" w:themeColor="text1"/>
                <w:kern w:val="0"/>
                <w:sz w:val="24"/>
                <w:szCs w:val="24"/>
              </w:rPr>
              <w:t>③</w:t>
            </w:r>
            <w:r>
              <w:rPr>
                <w:rFonts w:ascii="Times New Roman" w:hAnsi="Times New Roman" w:cs="Times New Roman"/>
                <w:color w:val="000000" w:themeColor="text1"/>
                <w:kern w:val="0"/>
                <w:sz w:val="24"/>
                <w:szCs w:val="24"/>
              </w:rPr>
              <w:t>若食入，饮足量温水，催吐，并送至专业医院救治；</w:t>
            </w:r>
          </w:p>
          <w:p>
            <w:pPr>
              <w:numPr>
                <w:ilvl w:val="0"/>
                <w:numId w:val="5"/>
              </w:numPr>
              <w:ind w:hanging="387"/>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人员受伤处置措施：</w:t>
            </w:r>
            <w:r>
              <w:rPr>
                <w:rFonts w:ascii="Times New Roman" w:hAnsi="Times New Roman" w:cs="Times New Roman"/>
                <w:color w:val="000000" w:themeColor="text1"/>
                <w:kern w:val="0"/>
                <w:sz w:val="24"/>
                <w:szCs w:val="24"/>
              </w:rPr>
              <w:t>立即报告部门主管，并联系专业医院，安排人员进行初步处理，</w:t>
            </w:r>
            <w:r>
              <w:rPr>
                <w:rFonts w:hint="eastAsia" w:ascii="宋体" w:hAnsi="宋体" w:eastAsia="宋体" w:cs="宋体"/>
                <w:color w:val="000000" w:themeColor="text1"/>
                <w:kern w:val="0"/>
                <w:sz w:val="24"/>
                <w:szCs w:val="24"/>
              </w:rPr>
              <w:t>①</w:t>
            </w:r>
            <w:r>
              <w:rPr>
                <w:rFonts w:ascii="Times New Roman" w:hAnsi="Times New Roman" w:cs="Times New Roman"/>
                <w:color w:val="000000" w:themeColor="text1"/>
                <w:kern w:val="0"/>
                <w:sz w:val="24"/>
                <w:szCs w:val="24"/>
              </w:rPr>
              <w:t>对伤口进行消毒止血包扎；</w:t>
            </w:r>
            <w:r>
              <w:rPr>
                <w:rFonts w:hint="eastAsia" w:ascii="宋体" w:hAnsi="宋体" w:eastAsia="宋体" w:cs="宋体"/>
                <w:color w:val="000000" w:themeColor="text1"/>
                <w:sz w:val="24"/>
                <w:szCs w:val="24"/>
              </w:rPr>
              <w:t>②</w:t>
            </w:r>
            <w:r>
              <w:rPr>
                <w:rFonts w:ascii="Times New Roman" w:hAnsi="Times New Roman" w:cs="Times New Roman"/>
                <w:color w:val="000000" w:themeColor="text1"/>
                <w:sz w:val="24"/>
                <w:szCs w:val="24"/>
              </w:rPr>
              <w:t>对骨折部门进行固定；</w:t>
            </w:r>
            <w:r>
              <w:rPr>
                <w:rFonts w:hint="eastAsia" w:ascii="宋体" w:hAnsi="宋体" w:eastAsia="宋体" w:cs="宋体"/>
                <w:color w:val="000000" w:themeColor="text1"/>
                <w:sz w:val="24"/>
                <w:szCs w:val="24"/>
              </w:rPr>
              <w:t>③</w:t>
            </w:r>
            <w:r>
              <w:rPr>
                <w:rFonts w:ascii="Times New Roman" w:hAnsi="Times New Roman" w:cs="Times New Roman"/>
                <w:color w:val="000000" w:themeColor="text1"/>
                <w:kern w:val="0"/>
                <w:sz w:val="24"/>
                <w:szCs w:val="24"/>
              </w:rPr>
              <w:t>如心跳停止，立即进行胸外挤压；</w:t>
            </w:r>
            <w:r>
              <w:rPr>
                <w:rFonts w:hint="eastAsia" w:ascii="宋体" w:hAnsi="宋体" w:eastAsia="宋体" w:cs="宋体"/>
                <w:color w:val="000000" w:themeColor="text1"/>
                <w:kern w:val="0"/>
                <w:sz w:val="24"/>
                <w:szCs w:val="24"/>
              </w:rPr>
              <w:t>④</w:t>
            </w:r>
            <w:r>
              <w:rPr>
                <w:rFonts w:ascii="Times New Roman" w:hAnsi="Times New Roman" w:cs="Times New Roman"/>
                <w:color w:val="000000" w:themeColor="text1"/>
                <w:kern w:val="0"/>
                <w:sz w:val="24"/>
                <w:szCs w:val="24"/>
              </w:rPr>
              <w:t>如呼吸停止，立即进行人工呼吸；</w:t>
            </w:r>
            <w:r>
              <w:rPr>
                <w:rFonts w:hint="eastAsia" w:ascii="宋体" w:hAnsi="宋体" w:eastAsia="宋体" w:cs="宋体"/>
                <w:color w:val="000000" w:themeColor="text1"/>
                <w:kern w:val="0"/>
                <w:sz w:val="24"/>
                <w:szCs w:val="24"/>
              </w:rPr>
              <w:t>⑤</w:t>
            </w:r>
            <w:r>
              <w:rPr>
                <w:rFonts w:ascii="Times New Roman" w:hAnsi="Times New Roman" w:cs="Times New Roman"/>
                <w:color w:val="000000" w:themeColor="text1"/>
                <w:kern w:val="0"/>
                <w:sz w:val="24"/>
                <w:szCs w:val="24"/>
              </w:rPr>
              <w:t>若是不能处理的伤势，不要盲目救治，等待专业医务人员处理。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9731" w:type="dxa"/>
            <w:gridSpan w:val="5"/>
          </w:tcPr>
          <w:p>
            <w:pPr>
              <w:jc w:val="center"/>
              <w:rPr>
                <w:rFonts w:ascii="Times New Roman" w:hAnsi="Times New Roman" w:cs="Times New Roman"/>
                <w:color w:val="000000" w:themeColor="text1"/>
                <w:sz w:val="24"/>
                <w:szCs w:val="24"/>
              </w:rPr>
            </w:pPr>
            <w:r>
              <w:rPr>
                <w:rFonts w:ascii="Times New Roman" w:hAnsi="Times New Roman" w:cs="Times New Roman"/>
                <w:b/>
                <w:color w:val="000000" w:themeColor="text1"/>
                <w:sz w:val="24"/>
                <w:szCs w:val="24"/>
              </w:rPr>
              <w:t>应急联系方式（电话号码）</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1658" w:type="dxa"/>
            <w:vMerge w:val="restart"/>
            <w:vAlign w:val="center"/>
          </w:tcPr>
          <w:p>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厂内</w:t>
            </w:r>
          </w:p>
        </w:tc>
        <w:tc>
          <w:tcPr>
            <w:tcW w:w="2446" w:type="dxa"/>
            <w:gridSpan w:val="2"/>
            <w:vAlign w:val="center"/>
          </w:tcPr>
          <w:p>
            <w:pPr>
              <w:widowControl/>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岗位负责人</w:t>
            </w:r>
          </w:p>
        </w:tc>
        <w:tc>
          <w:tcPr>
            <w:tcW w:w="2709" w:type="dxa"/>
            <w:vAlign w:val="center"/>
          </w:tcPr>
          <w:p>
            <w:pPr>
              <w:widowControl/>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加油站负责人</w:t>
            </w:r>
          </w:p>
        </w:tc>
        <w:tc>
          <w:tcPr>
            <w:tcW w:w="2918" w:type="dxa"/>
            <w:vAlign w:val="center"/>
          </w:tcPr>
          <w:p>
            <w:pPr>
              <w:widowControl/>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公司负责人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1658" w:type="dxa"/>
            <w:vMerge w:val="continue"/>
            <w:vAlign w:val="center"/>
          </w:tcPr>
          <w:p>
            <w:pPr>
              <w:rPr>
                <w:rFonts w:ascii="Times New Roman" w:hAnsi="Times New Roman" w:cs="Times New Roman"/>
                <w:color w:val="000000" w:themeColor="text1"/>
                <w:sz w:val="24"/>
                <w:szCs w:val="24"/>
              </w:rPr>
            </w:pPr>
          </w:p>
        </w:tc>
        <w:tc>
          <w:tcPr>
            <w:tcW w:w="2446" w:type="dxa"/>
            <w:gridSpan w:val="2"/>
            <w:vAlign w:val="bottom"/>
          </w:tcPr>
          <w:p>
            <w:pPr>
              <w:widowControl/>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w:t>
            </w:r>
          </w:p>
        </w:tc>
        <w:tc>
          <w:tcPr>
            <w:tcW w:w="2709" w:type="dxa"/>
            <w:vAlign w:val="bottom"/>
          </w:tcPr>
          <w:p>
            <w:pPr>
              <w:widowControl/>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w:t>
            </w:r>
          </w:p>
        </w:tc>
        <w:tc>
          <w:tcPr>
            <w:tcW w:w="2918" w:type="dxa"/>
            <w:vAlign w:val="bottom"/>
          </w:tcPr>
          <w:p>
            <w:pPr>
              <w:widowControl/>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1658" w:type="dxa"/>
            <w:vMerge w:val="restart"/>
            <w:vAlign w:val="center"/>
          </w:tcPr>
          <w:p>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公共</w:t>
            </w:r>
          </w:p>
        </w:tc>
        <w:tc>
          <w:tcPr>
            <w:tcW w:w="2446" w:type="dxa"/>
            <w:gridSpan w:val="2"/>
            <w:vAlign w:val="center"/>
          </w:tcPr>
          <w:p>
            <w:pPr>
              <w:widowControl/>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报警电话</w:t>
            </w:r>
          </w:p>
        </w:tc>
        <w:tc>
          <w:tcPr>
            <w:tcW w:w="2709" w:type="dxa"/>
            <w:vAlign w:val="center"/>
          </w:tcPr>
          <w:p>
            <w:pPr>
              <w:widowControl/>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火警电话</w:t>
            </w:r>
          </w:p>
        </w:tc>
        <w:tc>
          <w:tcPr>
            <w:tcW w:w="2918" w:type="dxa"/>
            <w:vAlign w:val="center"/>
          </w:tcPr>
          <w:p>
            <w:pPr>
              <w:widowControl/>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急救电话</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4" w:hRule="atLeast"/>
        </w:trPr>
        <w:tc>
          <w:tcPr>
            <w:tcW w:w="1658" w:type="dxa"/>
            <w:vMerge w:val="continue"/>
          </w:tcPr>
          <w:p>
            <w:pPr>
              <w:rPr>
                <w:rFonts w:ascii="Times New Roman" w:hAnsi="Times New Roman" w:cs="Times New Roman"/>
                <w:color w:val="000000" w:themeColor="text1"/>
                <w:sz w:val="24"/>
                <w:szCs w:val="24"/>
              </w:rPr>
            </w:pPr>
          </w:p>
        </w:tc>
        <w:tc>
          <w:tcPr>
            <w:tcW w:w="2446" w:type="dxa"/>
            <w:gridSpan w:val="2"/>
            <w:vAlign w:val="center"/>
          </w:tcPr>
          <w:p>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110</w:t>
            </w:r>
          </w:p>
        </w:tc>
        <w:tc>
          <w:tcPr>
            <w:tcW w:w="2709" w:type="dxa"/>
            <w:vAlign w:val="center"/>
          </w:tcPr>
          <w:p>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119</w:t>
            </w:r>
          </w:p>
        </w:tc>
        <w:tc>
          <w:tcPr>
            <w:tcW w:w="2918" w:type="dxa"/>
            <w:vAlign w:val="center"/>
          </w:tcPr>
          <w:p>
            <w:pPr>
              <w:adjustRightInd w:val="0"/>
              <w:snapToGrid w:val="0"/>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120</w:t>
            </w:r>
          </w:p>
        </w:tc>
      </w:tr>
    </w:tbl>
    <w:p>
      <w:pPr>
        <w:rPr>
          <w:rFonts w:ascii="Times New Roman" w:hAnsi="Times New Roman" w:cs="Times New Roman"/>
          <w:b/>
          <w:bCs/>
          <w:color w:val="000000" w:themeColor="text1"/>
          <w:kern w:val="44"/>
          <w:sz w:val="24"/>
          <w:szCs w:val="24"/>
        </w:rPr>
      </w:pPr>
      <w:bookmarkStart w:id="1364" w:name="_Toc294"/>
      <w:r>
        <w:rPr>
          <w:rFonts w:ascii="Times New Roman" w:hAnsi="Times New Roman" w:cs="Times New Roman"/>
          <w:b/>
          <w:bCs/>
          <w:color w:val="000000" w:themeColor="text1"/>
          <w:kern w:val="44"/>
          <w:sz w:val="24"/>
          <w:szCs w:val="24"/>
        </w:rPr>
        <w:br w:type="page"/>
      </w:r>
    </w:p>
    <w:p>
      <w:pPr>
        <w:keepNext/>
        <w:keepLines/>
        <w:spacing w:beforeLines="150" w:line="360" w:lineRule="auto"/>
        <w:ind w:left="487" w:hanging="487" w:hangingChars="202"/>
        <w:jc w:val="left"/>
        <w:outlineLvl w:val="1"/>
        <w:rPr>
          <w:rFonts w:ascii="Times New Roman" w:hAnsi="Times New Roman" w:cs="Times New Roman"/>
          <w:b/>
          <w:bCs/>
          <w:color w:val="000000" w:themeColor="text1"/>
          <w:sz w:val="24"/>
          <w:szCs w:val="24"/>
        </w:rPr>
      </w:pPr>
      <w:bookmarkStart w:id="1365" w:name="_Toc28139"/>
      <w:bookmarkStart w:id="1366" w:name="_Toc10573"/>
      <w:r>
        <w:rPr>
          <w:rFonts w:ascii="Times New Roman" w:hAnsi="Times New Roman" w:cs="Times New Roman"/>
          <w:b/>
          <w:bCs/>
          <w:color w:val="000000" w:themeColor="text1"/>
          <w:sz w:val="24"/>
          <w:szCs w:val="24"/>
        </w:rPr>
        <w:t>附件十：突发环境事件报告表</w:t>
      </w:r>
      <w:bookmarkEnd w:id="1364"/>
      <w:bookmarkEnd w:id="1365"/>
      <w:bookmarkEnd w:id="1366"/>
    </w:p>
    <w:p>
      <w:pPr>
        <w:autoSpaceDN w:val="0"/>
        <w:ind w:firstLine="482" w:firstLineChars="200"/>
        <w:jc w:val="center"/>
        <w:rPr>
          <w:rFonts w:ascii="Times New Roman" w:hAnsi="Times New Roman" w:cs="Times New Roman"/>
          <w:b/>
          <w:bCs/>
          <w:color w:val="000000" w:themeColor="text1"/>
          <w:sz w:val="24"/>
          <w:szCs w:val="24"/>
        </w:rPr>
      </w:pPr>
      <w:bookmarkStart w:id="1367" w:name="_Toc26484_WPSOffice_Level1"/>
      <w:bookmarkStart w:id="1368" w:name="_Toc7502_WPSOffice_Level1"/>
      <w:bookmarkStart w:id="1369" w:name="_Toc13494_WPSOffice_Level1"/>
      <w:bookmarkStart w:id="1370" w:name="_Toc29965_WPSOffice_Level1"/>
      <w:bookmarkStart w:id="1371" w:name="_Toc28927_WPSOffice_Level1"/>
      <w:bookmarkStart w:id="1372" w:name="_Toc20366_WPSOffice_Level1"/>
      <w:r>
        <w:rPr>
          <w:rFonts w:ascii="Times New Roman" w:hAnsi="Times New Roman" w:cs="Times New Roman"/>
          <w:b/>
          <w:bCs/>
          <w:color w:val="000000" w:themeColor="text1"/>
          <w:sz w:val="24"/>
          <w:szCs w:val="24"/>
        </w:rPr>
        <w:t>表1  企业突发环境事件报告表（初报）</w:t>
      </w:r>
      <w:bookmarkEnd w:id="1367"/>
      <w:bookmarkEnd w:id="1368"/>
      <w:bookmarkEnd w:id="1369"/>
      <w:bookmarkEnd w:id="1370"/>
      <w:bookmarkEnd w:id="1371"/>
      <w:bookmarkEnd w:id="1372"/>
    </w:p>
    <w:p>
      <w:pPr>
        <w:spacing w:before="10" w:line="60" w:lineRule="exact"/>
        <w:rPr>
          <w:rFonts w:ascii="Times New Roman" w:hAnsi="Times New Roman" w:cs="Times New Roman"/>
          <w:color w:val="000000" w:themeColor="text1"/>
          <w:sz w:val="24"/>
          <w:szCs w:val="24"/>
        </w:rPr>
      </w:pPr>
    </w:p>
    <w:tbl>
      <w:tblPr>
        <w:tblStyle w:val="14"/>
        <w:tblW w:w="9309" w:type="dxa"/>
        <w:jc w:val="center"/>
        <w:tblLayout w:type="fixed"/>
        <w:tblCellMar>
          <w:top w:w="0" w:type="dxa"/>
          <w:left w:w="0" w:type="dxa"/>
          <w:bottom w:w="0" w:type="dxa"/>
          <w:right w:w="0" w:type="dxa"/>
        </w:tblCellMar>
      </w:tblPr>
      <w:tblGrid>
        <w:gridCol w:w="2346"/>
        <w:gridCol w:w="1136"/>
        <w:gridCol w:w="1843"/>
        <w:gridCol w:w="1048"/>
        <w:gridCol w:w="302"/>
        <w:gridCol w:w="1229"/>
        <w:gridCol w:w="1405"/>
      </w:tblGrid>
      <w:tr>
        <w:tblPrEx>
          <w:tblCellMar>
            <w:top w:w="0" w:type="dxa"/>
            <w:left w:w="0" w:type="dxa"/>
            <w:bottom w:w="0" w:type="dxa"/>
            <w:right w:w="0" w:type="dxa"/>
          </w:tblCellMar>
        </w:tblPrEx>
        <w:trPr>
          <w:trHeight w:val="400" w:hRule="exact"/>
          <w:jc w:val="center"/>
        </w:trPr>
        <w:tc>
          <w:tcPr>
            <w:tcW w:w="2346" w:type="dxa"/>
            <w:vMerge w:val="restart"/>
            <w:tcBorders>
              <w:top w:val="single" w:color="000000" w:sz="4" w:space="0"/>
              <w:left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报告方式</w:t>
            </w:r>
          </w:p>
        </w:tc>
        <w:tc>
          <w:tcPr>
            <w:tcW w:w="113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1</w:t>
            </w:r>
          </w:p>
        </w:tc>
        <w:tc>
          <w:tcPr>
            <w:tcW w:w="1843"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电话报告</w:t>
            </w:r>
          </w:p>
        </w:tc>
        <w:tc>
          <w:tcPr>
            <w:tcW w:w="1350" w:type="dxa"/>
            <w:gridSpan w:val="2"/>
            <w:vMerge w:val="restart"/>
            <w:tcBorders>
              <w:top w:val="single" w:color="000000" w:sz="4" w:space="0"/>
              <w:left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报告</w:t>
            </w:r>
            <w:r>
              <w:rPr>
                <w:rFonts w:ascii="Times New Roman" w:hAnsi="Times New Roman" w:cs="Times New Roman"/>
                <w:color w:val="000000" w:themeColor="text1"/>
                <w:sz w:val="24"/>
                <w:szCs w:val="24"/>
              </w:rPr>
              <w:t>人</w:t>
            </w:r>
          </w:p>
        </w:tc>
        <w:tc>
          <w:tcPr>
            <w:tcW w:w="1229"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内部</w:t>
            </w:r>
          </w:p>
        </w:tc>
        <w:tc>
          <w:tcPr>
            <w:tcW w:w="14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65" w:hRule="exact"/>
          <w:jc w:val="center"/>
        </w:trPr>
        <w:tc>
          <w:tcPr>
            <w:tcW w:w="2346" w:type="dxa"/>
            <w:vMerge w:val="continue"/>
            <w:tcBorders>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113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2</w:t>
            </w:r>
          </w:p>
        </w:tc>
        <w:tc>
          <w:tcPr>
            <w:tcW w:w="1843"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书面报告</w:t>
            </w:r>
          </w:p>
        </w:tc>
        <w:tc>
          <w:tcPr>
            <w:tcW w:w="1350" w:type="dxa"/>
            <w:gridSpan w:val="2"/>
            <w:vMerge w:val="continue"/>
            <w:tcBorders>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1229"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外部</w:t>
            </w:r>
          </w:p>
        </w:tc>
        <w:tc>
          <w:tcPr>
            <w:tcW w:w="14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530" w:hRule="exact"/>
          <w:jc w:val="center"/>
        </w:trPr>
        <w:tc>
          <w:tcPr>
            <w:tcW w:w="234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报告时间</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年   月   日    时   分</w:t>
            </w:r>
          </w:p>
        </w:tc>
      </w:tr>
      <w:tr>
        <w:tblPrEx>
          <w:tblCellMar>
            <w:top w:w="0" w:type="dxa"/>
            <w:left w:w="0" w:type="dxa"/>
            <w:bottom w:w="0" w:type="dxa"/>
            <w:right w:w="0" w:type="dxa"/>
          </w:tblCellMar>
        </w:tblPrEx>
        <w:trPr>
          <w:trHeight w:val="400" w:hRule="exact"/>
          <w:jc w:val="center"/>
        </w:trPr>
        <w:tc>
          <w:tcPr>
            <w:tcW w:w="234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单位名称</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234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地址</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234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法人代表</w:t>
            </w:r>
          </w:p>
        </w:tc>
        <w:tc>
          <w:tcPr>
            <w:tcW w:w="2979"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579"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联系电话</w:t>
            </w:r>
          </w:p>
        </w:tc>
        <w:tc>
          <w:tcPr>
            <w:tcW w:w="14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234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传真</w:t>
            </w:r>
          </w:p>
        </w:tc>
        <w:tc>
          <w:tcPr>
            <w:tcW w:w="2979"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579"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Email</w:t>
            </w:r>
          </w:p>
        </w:tc>
        <w:tc>
          <w:tcPr>
            <w:tcW w:w="14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234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发生位置</w:t>
            </w:r>
          </w:p>
        </w:tc>
        <w:tc>
          <w:tcPr>
            <w:tcW w:w="2979"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579"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设备设施名称</w:t>
            </w:r>
          </w:p>
        </w:tc>
        <w:tc>
          <w:tcPr>
            <w:tcW w:w="14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234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物料名称</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35" w:hRule="exact"/>
          <w:jc w:val="center"/>
        </w:trPr>
        <w:tc>
          <w:tcPr>
            <w:tcW w:w="234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类型</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泄漏火灾爆炸其它</w:t>
            </w:r>
          </w:p>
        </w:tc>
      </w:tr>
      <w:tr>
        <w:tblPrEx>
          <w:tblCellMar>
            <w:top w:w="0" w:type="dxa"/>
            <w:left w:w="0" w:type="dxa"/>
            <w:bottom w:w="0" w:type="dxa"/>
            <w:right w:w="0" w:type="dxa"/>
          </w:tblCellMar>
        </w:tblPrEx>
        <w:trPr>
          <w:trHeight w:val="400" w:hRule="exact"/>
          <w:jc w:val="center"/>
        </w:trPr>
        <w:tc>
          <w:tcPr>
            <w:tcW w:w="234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污染物名称</w:t>
            </w: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数量</w:t>
            </w: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排放去向</w:t>
            </w:r>
          </w:p>
        </w:tc>
      </w:tr>
      <w:tr>
        <w:tblPrEx>
          <w:tblCellMar>
            <w:top w:w="0" w:type="dxa"/>
            <w:left w:w="0" w:type="dxa"/>
            <w:bottom w:w="0" w:type="dxa"/>
            <w:right w:w="0" w:type="dxa"/>
          </w:tblCellMar>
        </w:tblPrEx>
        <w:trPr>
          <w:trHeight w:val="400" w:hRule="exact"/>
          <w:jc w:val="center"/>
        </w:trPr>
        <w:tc>
          <w:tcPr>
            <w:tcW w:w="234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234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234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234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234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234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234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4027"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36" w:type="dxa"/>
            <w:gridSpan w:val="3"/>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0" w:hRule="exact"/>
          <w:jc w:val="center"/>
        </w:trPr>
        <w:tc>
          <w:tcPr>
            <w:tcW w:w="234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已污染的范围</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1010" w:hRule="exact"/>
          <w:jc w:val="center"/>
        </w:trPr>
        <w:tc>
          <w:tcPr>
            <w:tcW w:w="234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position w:val="-1"/>
                <w:sz w:val="24"/>
                <w:szCs w:val="24"/>
              </w:rPr>
            </w:pPr>
            <w:r>
              <w:rPr>
                <w:rFonts w:ascii="Times New Roman" w:hAnsi="Times New Roman" w:cs="Times New Roman"/>
                <w:color w:val="000000" w:themeColor="text1"/>
                <w:position w:val="-1"/>
                <w:sz w:val="24"/>
                <w:szCs w:val="24"/>
              </w:rPr>
              <w:t>可能受影</w:t>
            </w:r>
          </w:p>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响区</w:t>
            </w:r>
            <w:r>
              <w:rPr>
                <w:rFonts w:ascii="Times New Roman" w:hAnsi="Times New Roman" w:cs="Times New Roman"/>
                <w:color w:val="000000" w:themeColor="text1"/>
                <w:sz w:val="24"/>
                <w:szCs w:val="24"/>
              </w:rPr>
              <w:t>域</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1180" w:hRule="exact"/>
          <w:jc w:val="center"/>
        </w:trPr>
        <w:tc>
          <w:tcPr>
            <w:tcW w:w="234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潜在的危害程</w:t>
            </w:r>
          </w:p>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度转化方式</w:t>
            </w:r>
          </w:p>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趋向</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790" w:hRule="exact"/>
          <w:jc w:val="center"/>
        </w:trPr>
        <w:tc>
          <w:tcPr>
            <w:tcW w:w="234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position w:val="-1"/>
                <w:sz w:val="24"/>
                <w:szCs w:val="24"/>
              </w:rPr>
            </w:pPr>
            <w:r>
              <w:rPr>
                <w:rFonts w:ascii="Times New Roman" w:hAnsi="Times New Roman" w:cs="Times New Roman"/>
                <w:color w:val="000000" w:themeColor="text1"/>
                <w:position w:val="-1"/>
                <w:sz w:val="24"/>
                <w:szCs w:val="24"/>
              </w:rPr>
              <w:t>已采取的</w:t>
            </w:r>
          </w:p>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应急</w:t>
            </w:r>
            <w:r>
              <w:rPr>
                <w:rFonts w:ascii="Times New Roman" w:hAnsi="Times New Roman" w:cs="Times New Roman"/>
                <w:color w:val="000000" w:themeColor="text1"/>
                <w:sz w:val="24"/>
                <w:szCs w:val="24"/>
              </w:rPr>
              <w:t>措施</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560" w:hRule="exact"/>
          <w:jc w:val="center"/>
        </w:trPr>
        <w:tc>
          <w:tcPr>
            <w:tcW w:w="234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建议采取措施</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1180" w:hRule="exact"/>
          <w:jc w:val="center"/>
        </w:trPr>
        <w:tc>
          <w:tcPr>
            <w:tcW w:w="2346"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直接人员伤亡</w:t>
            </w:r>
          </w:p>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和财产经济</w:t>
            </w:r>
          </w:p>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损失</w:t>
            </w:r>
          </w:p>
        </w:tc>
        <w:tc>
          <w:tcPr>
            <w:tcW w:w="6963" w:type="dxa"/>
            <w:gridSpan w:val="6"/>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bl>
    <w:p>
      <w:pPr>
        <w:pStyle w:val="2"/>
        <w:ind w:left="0" w:leftChars="0" w:firstLine="0" w:firstLineChars="0"/>
        <w:rPr>
          <w:rFonts w:ascii="Times New Roman" w:hAnsi="Times New Roman" w:eastAsiaTheme="minorEastAsia"/>
          <w:color w:val="000000" w:themeColor="text1"/>
        </w:rPr>
      </w:pPr>
    </w:p>
    <w:p>
      <w:pPr>
        <w:rPr>
          <w:rFonts w:ascii="Times New Roman" w:hAnsi="Times New Roman" w:cs="Times New Roman"/>
          <w:color w:val="000000" w:themeColor="text1"/>
          <w:sz w:val="28"/>
          <w:szCs w:val="20"/>
        </w:rPr>
      </w:pPr>
      <w:r>
        <w:rPr>
          <w:rFonts w:ascii="Times New Roman" w:hAnsi="Times New Roman" w:cs="Times New Roman"/>
          <w:color w:val="000000" w:themeColor="text1"/>
          <w:sz w:val="28"/>
          <w:szCs w:val="20"/>
        </w:rPr>
        <w:br w:type="page"/>
      </w:r>
    </w:p>
    <w:p>
      <w:pPr>
        <w:spacing w:line="200" w:lineRule="exact"/>
        <w:rPr>
          <w:rFonts w:ascii="Times New Roman" w:hAnsi="Times New Roman" w:cs="Times New Roman"/>
          <w:b/>
          <w:bCs/>
          <w:color w:val="000000" w:themeColor="text1"/>
          <w:sz w:val="24"/>
          <w:szCs w:val="24"/>
        </w:rPr>
      </w:pPr>
    </w:p>
    <w:p>
      <w:pPr>
        <w:spacing w:line="320" w:lineRule="exact"/>
        <w:ind w:left="2282"/>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表</w:t>
      </w:r>
      <w:r>
        <w:rPr>
          <w:rFonts w:ascii="Times New Roman" w:hAnsi="Times New Roman" w:cs="Times New Roman"/>
          <w:b/>
          <w:bCs/>
          <w:color w:val="000000" w:themeColor="text1"/>
          <w:spacing w:val="2"/>
          <w:sz w:val="24"/>
          <w:szCs w:val="24"/>
        </w:rPr>
        <w:t xml:space="preserve">2 </w:t>
      </w:r>
      <w:r>
        <w:rPr>
          <w:rFonts w:ascii="Times New Roman" w:hAnsi="Times New Roman" w:cs="Times New Roman"/>
          <w:b/>
          <w:bCs/>
          <w:color w:val="000000" w:themeColor="text1"/>
          <w:sz w:val="24"/>
          <w:szCs w:val="24"/>
        </w:rPr>
        <w:t>公</w:t>
      </w:r>
      <w:r>
        <w:rPr>
          <w:rFonts w:ascii="Times New Roman" w:hAnsi="Times New Roman" w:cs="Times New Roman"/>
          <w:b/>
          <w:bCs/>
          <w:color w:val="000000" w:themeColor="text1"/>
          <w:spacing w:val="2"/>
          <w:sz w:val="24"/>
          <w:szCs w:val="24"/>
        </w:rPr>
        <w:t>司</w:t>
      </w:r>
      <w:r>
        <w:rPr>
          <w:rFonts w:ascii="Times New Roman" w:hAnsi="Times New Roman" w:cs="Times New Roman"/>
          <w:b/>
          <w:bCs/>
          <w:color w:val="000000" w:themeColor="text1"/>
          <w:sz w:val="24"/>
          <w:szCs w:val="24"/>
        </w:rPr>
        <w:t>突</w:t>
      </w:r>
      <w:r>
        <w:rPr>
          <w:rFonts w:ascii="Times New Roman" w:hAnsi="Times New Roman" w:cs="Times New Roman"/>
          <w:b/>
          <w:bCs/>
          <w:color w:val="000000" w:themeColor="text1"/>
          <w:spacing w:val="2"/>
          <w:sz w:val="24"/>
          <w:szCs w:val="24"/>
        </w:rPr>
        <w:t>发</w:t>
      </w:r>
      <w:r>
        <w:rPr>
          <w:rFonts w:ascii="Times New Roman" w:hAnsi="Times New Roman" w:cs="Times New Roman"/>
          <w:b/>
          <w:bCs/>
          <w:color w:val="000000" w:themeColor="text1"/>
          <w:sz w:val="24"/>
          <w:szCs w:val="24"/>
        </w:rPr>
        <w:t>环境</w:t>
      </w:r>
      <w:r>
        <w:rPr>
          <w:rFonts w:ascii="Times New Roman" w:hAnsi="Times New Roman" w:cs="Times New Roman"/>
          <w:b/>
          <w:bCs/>
          <w:color w:val="000000" w:themeColor="text1"/>
          <w:spacing w:val="2"/>
          <w:sz w:val="24"/>
          <w:szCs w:val="24"/>
        </w:rPr>
        <w:t>事</w:t>
      </w:r>
      <w:r>
        <w:rPr>
          <w:rFonts w:ascii="Times New Roman" w:hAnsi="Times New Roman" w:cs="Times New Roman"/>
          <w:b/>
          <w:bCs/>
          <w:color w:val="000000" w:themeColor="text1"/>
          <w:sz w:val="24"/>
          <w:szCs w:val="24"/>
        </w:rPr>
        <w:t>件</w:t>
      </w:r>
      <w:r>
        <w:rPr>
          <w:rFonts w:ascii="Times New Roman" w:hAnsi="Times New Roman" w:cs="Times New Roman"/>
          <w:b/>
          <w:bCs/>
          <w:color w:val="000000" w:themeColor="text1"/>
          <w:spacing w:val="2"/>
          <w:sz w:val="24"/>
          <w:szCs w:val="24"/>
        </w:rPr>
        <w:t>报</w:t>
      </w:r>
      <w:r>
        <w:rPr>
          <w:rFonts w:ascii="Times New Roman" w:hAnsi="Times New Roman" w:cs="Times New Roman"/>
          <w:b/>
          <w:bCs/>
          <w:color w:val="000000" w:themeColor="text1"/>
          <w:sz w:val="24"/>
          <w:szCs w:val="24"/>
        </w:rPr>
        <w:t>告表</w:t>
      </w:r>
      <w:r>
        <w:rPr>
          <w:rFonts w:ascii="Times New Roman" w:hAnsi="Times New Roman" w:cs="Times New Roman"/>
          <w:b/>
          <w:bCs/>
          <w:color w:val="000000" w:themeColor="text1"/>
          <w:spacing w:val="2"/>
          <w:sz w:val="24"/>
          <w:szCs w:val="24"/>
        </w:rPr>
        <w:t>（</w:t>
      </w:r>
      <w:r>
        <w:rPr>
          <w:rFonts w:ascii="Times New Roman" w:hAnsi="Times New Roman" w:cs="Times New Roman"/>
          <w:b/>
          <w:bCs/>
          <w:color w:val="000000" w:themeColor="text1"/>
          <w:sz w:val="24"/>
          <w:szCs w:val="24"/>
        </w:rPr>
        <w:t>续报）</w:t>
      </w:r>
    </w:p>
    <w:p>
      <w:pPr>
        <w:spacing w:before="10" w:line="60" w:lineRule="exact"/>
        <w:rPr>
          <w:rFonts w:ascii="Times New Roman" w:hAnsi="Times New Roman" w:cs="Times New Roman"/>
          <w:color w:val="000000" w:themeColor="text1"/>
          <w:sz w:val="24"/>
          <w:szCs w:val="24"/>
        </w:rPr>
      </w:pPr>
    </w:p>
    <w:tbl>
      <w:tblPr>
        <w:tblStyle w:val="14"/>
        <w:tblW w:w="8907" w:type="dxa"/>
        <w:jc w:val="center"/>
        <w:tblLayout w:type="fixed"/>
        <w:tblCellMar>
          <w:top w:w="0" w:type="dxa"/>
          <w:left w:w="0" w:type="dxa"/>
          <w:bottom w:w="0" w:type="dxa"/>
          <w:right w:w="0" w:type="dxa"/>
        </w:tblCellMar>
      </w:tblPr>
      <w:tblGrid>
        <w:gridCol w:w="1950"/>
        <w:gridCol w:w="2505"/>
        <w:gridCol w:w="1484"/>
        <w:gridCol w:w="1484"/>
        <w:gridCol w:w="1484"/>
      </w:tblGrid>
      <w:tr>
        <w:tblPrEx>
          <w:tblCellMar>
            <w:top w:w="0" w:type="dxa"/>
            <w:left w:w="0" w:type="dxa"/>
            <w:bottom w:w="0" w:type="dxa"/>
            <w:right w:w="0" w:type="dxa"/>
          </w:tblCellMar>
        </w:tblPrEx>
        <w:trPr>
          <w:trHeight w:val="728"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报告方式</w:t>
            </w:r>
          </w:p>
        </w:tc>
        <w:tc>
          <w:tcPr>
            <w:tcW w:w="25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电话报告或网络报</w:t>
            </w:r>
            <w:r>
              <w:rPr>
                <w:rFonts w:ascii="Times New Roman" w:hAnsi="Times New Roman" w:cs="Times New Roman"/>
                <w:color w:val="000000" w:themeColor="text1"/>
                <w:sz w:val="24"/>
                <w:szCs w:val="24"/>
              </w:rPr>
              <w:t>告</w:t>
            </w:r>
          </w:p>
        </w:tc>
        <w:tc>
          <w:tcPr>
            <w:tcW w:w="1484"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报告人</w:t>
            </w: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报告时间</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年     月     日    时      分</w:t>
            </w: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单位名称</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地址</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法人代表</w:t>
            </w:r>
          </w:p>
        </w:tc>
        <w:tc>
          <w:tcPr>
            <w:tcW w:w="25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联系电话</w:t>
            </w:r>
          </w:p>
        </w:tc>
        <w:tc>
          <w:tcPr>
            <w:tcW w:w="1484"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传真</w:t>
            </w:r>
          </w:p>
        </w:tc>
        <w:tc>
          <w:tcPr>
            <w:tcW w:w="25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Email</w:t>
            </w:r>
          </w:p>
        </w:tc>
        <w:tc>
          <w:tcPr>
            <w:tcW w:w="1484"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发生位置</w:t>
            </w:r>
          </w:p>
        </w:tc>
        <w:tc>
          <w:tcPr>
            <w:tcW w:w="2505"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设备设施名称</w:t>
            </w:r>
          </w:p>
        </w:tc>
        <w:tc>
          <w:tcPr>
            <w:tcW w:w="1484"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物料名称</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类型</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泄漏火灾爆炸其它</w:t>
            </w: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污染物名称</w:t>
            </w: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数量</w:t>
            </w: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排放去向</w:t>
            </w: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3989"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事件发生原因</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事件发生过程</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事件进展情况</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727" w:hRule="exact"/>
          <w:jc w:val="center"/>
        </w:trPr>
        <w:tc>
          <w:tcPr>
            <w:tcW w:w="195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1"/>
                <w:sz w:val="24"/>
                <w:szCs w:val="24"/>
              </w:rPr>
              <w:t>采取的应急措</w:t>
            </w:r>
          </w:p>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position w:val="-2"/>
                <w:sz w:val="24"/>
                <w:szCs w:val="24"/>
              </w:rPr>
              <w:t>施</w:t>
            </w:r>
          </w:p>
        </w:tc>
        <w:tc>
          <w:tcPr>
            <w:tcW w:w="6957" w:type="dxa"/>
            <w:gridSpan w:val="4"/>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bl>
    <w:p>
      <w:pPr>
        <w:rPr>
          <w:rFonts w:ascii="Times New Roman" w:hAnsi="Times New Roman" w:cs="Times New Roman"/>
          <w:color w:val="000000" w:themeColor="text1"/>
          <w:sz w:val="24"/>
          <w:szCs w:val="24"/>
        </w:rPr>
        <w:sectPr>
          <w:footerReference r:id="rId6" w:type="default"/>
          <w:type w:val="continuous"/>
          <w:pgSz w:w="11920" w:h="16840"/>
          <w:pgMar w:top="1440" w:right="1080" w:bottom="1440" w:left="1080" w:header="878" w:footer="1081" w:gutter="0"/>
          <w:pgBorders>
            <w:top w:val="none" w:sz="0" w:space="0"/>
            <w:left w:val="none" w:sz="0" w:space="0"/>
            <w:bottom w:val="none" w:sz="0" w:space="0"/>
            <w:right w:val="none" w:sz="0" w:space="0"/>
          </w:pgBorders>
          <w:pgNumType w:fmt="upperRoman" w:start="1"/>
          <w:cols w:space="720" w:num="1"/>
        </w:sectPr>
      </w:pPr>
    </w:p>
    <w:p>
      <w:pPr>
        <w:spacing w:line="320" w:lineRule="exact"/>
        <w:jc w:val="center"/>
        <w:rPr>
          <w:rFonts w:ascii="Times New Roman" w:hAnsi="Times New Roman" w:cs="Times New Roman"/>
          <w:b/>
          <w:bCs/>
          <w:color w:val="000000" w:themeColor="text1"/>
          <w:sz w:val="24"/>
          <w:szCs w:val="24"/>
        </w:rPr>
      </w:pPr>
      <w:bookmarkStart w:id="1373" w:name="_Toc27314_WPSOffice_Level1"/>
      <w:bookmarkStart w:id="1374" w:name="_Toc4640_WPSOffice_Level1"/>
      <w:bookmarkStart w:id="1375" w:name="_Toc31114_WPSOffice_Level1"/>
      <w:bookmarkStart w:id="1376" w:name="_Toc15964_WPSOffice_Level1"/>
      <w:bookmarkStart w:id="1377" w:name="_Toc1167_WPSOffice_Level1"/>
      <w:bookmarkStart w:id="1378" w:name="_Toc17585_WPSOffice_Level1"/>
      <w:r>
        <w:rPr>
          <w:rFonts w:ascii="Times New Roman" w:hAnsi="Times New Roman" w:cs="Times New Roman"/>
          <w:b/>
          <w:bCs/>
          <w:color w:val="000000" w:themeColor="text1"/>
          <w:sz w:val="24"/>
          <w:szCs w:val="24"/>
        </w:rPr>
        <w:t>表</w:t>
      </w:r>
      <w:r>
        <w:rPr>
          <w:rFonts w:ascii="Times New Roman" w:hAnsi="Times New Roman" w:cs="Times New Roman"/>
          <w:b/>
          <w:bCs/>
          <w:color w:val="000000" w:themeColor="text1"/>
          <w:spacing w:val="49"/>
          <w:sz w:val="24"/>
          <w:szCs w:val="24"/>
        </w:rPr>
        <w:t>3</w:t>
      </w:r>
      <w:r>
        <w:rPr>
          <w:rFonts w:ascii="Times New Roman" w:hAnsi="Times New Roman" w:cs="Times New Roman"/>
          <w:b/>
          <w:bCs/>
          <w:color w:val="000000" w:themeColor="text1"/>
          <w:sz w:val="24"/>
          <w:szCs w:val="24"/>
        </w:rPr>
        <w:t>公</w:t>
      </w:r>
      <w:r>
        <w:rPr>
          <w:rFonts w:ascii="Times New Roman" w:hAnsi="Times New Roman" w:cs="Times New Roman"/>
          <w:b/>
          <w:bCs/>
          <w:color w:val="000000" w:themeColor="text1"/>
          <w:spacing w:val="2"/>
          <w:sz w:val="24"/>
          <w:szCs w:val="24"/>
        </w:rPr>
        <w:t>司</w:t>
      </w:r>
      <w:r>
        <w:rPr>
          <w:rFonts w:ascii="Times New Roman" w:hAnsi="Times New Roman" w:cs="Times New Roman"/>
          <w:b/>
          <w:bCs/>
          <w:color w:val="000000" w:themeColor="text1"/>
          <w:sz w:val="24"/>
          <w:szCs w:val="24"/>
        </w:rPr>
        <w:t>突</w:t>
      </w:r>
      <w:r>
        <w:rPr>
          <w:rFonts w:ascii="Times New Roman" w:hAnsi="Times New Roman" w:cs="Times New Roman"/>
          <w:b/>
          <w:bCs/>
          <w:color w:val="000000" w:themeColor="text1"/>
          <w:spacing w:val="2"/>
          <w:sz w:val="24"/>
          <w:szCs w:val="24"/>
        </w:rPr>
        <w:t>发</w:t>
      </w:r>
      <w:r>
        <w:rPr>
          <w:rFonts w:ascii="Times New Roman" w:hAnsi="Times New Roman" w:cs="Times New Roman"/>
          <w:b/>
          <w:bCs/>
          <w:color w:val="000000" w:themeColor="text1"/>
          <w:sz w:val="24"/>
          <w:szCs w:val="24"/>
        </w:rPr>
        <w:t>环境</w:t>
      </w:r>
      <w:r>
        <w:rPr>
          <w:rFonts w:ascii="Times New Roman" w:hAnsi="Times New Roman" w:cs="Times New Roman"/>
          <w:b/>
          <w:bCs/>
          <w:color w:val="000000" w:themeColor="text1"/>
          <w:spacing w:val="2"/>
          <w:sz w:val="24"/>
          <w:szCs w:val="24"/>
        </w:rPr>
        <w:t>事</w:t>
      </w:r>
      <w:r>
        <w:rPr>
          <w:rFonts w:ascii="Times New Roman" w:hAnsi="Times New Roman" w:cs="Times New Roman"/>
          <w:b/>
          <w:bCs/>
          <w:color w:val="000000" w:themeColor="text1"/>
          <w:sz w:val="24"/>
          <w:szCs w:val="24"/>
        </w:rPr>
        <w:t>件</w:t>
      </w:r>
      <w:r>
        <w:rPr>
          <w:rFonts w:ascii="Times New Roman" w:hAnsi="Times New Roman" w:cs="Times New Roman"/>
          <w:b/>
          <w:bCs/>
          <w:color w:val="000000" w:themeColor="text1"/>
          <w:spacing w:val="2"/>
          <w:sz w:val="24"/>
          <w:szCs w:val="24"/>
        </w:rPr>
        <w:t>报</w:t>
      </w:r>
      <w:r>
        <w:rPr>
          <w:rFonts w:ascii="Times New Roman" w:hAnsi="Times New Roman" w:cs="Times New Roman"/>
          <w:b/>
          <w:bCs/>
          <w:color w:val="000000" w:themeColor="text1"/>
          <w:sz w:val="24"/>
          <w:szCs w:val="24"/>
        </w:rPr>
        <w:t>告表</w:t>
      </w:r>
      <w:r>
        <w:rPr>
          <w:rFonts w:ascii="Times New Roman" w:hAnsi="Times New Roman" w:cs="Times New Roman"/>
          <w:b/>
          <w:bCs/>
          <w:color w:val="000000" w:themeColor="text1"/>
          <w:spacing w:val="2"/>
          <w:sz w:val="24"/>
          <w:szCs w:val="24"/>
        </w:rPr>
        <w:t>（</w:t>
      </w:r>
      <w:r>
        <w:rPr>
          <w:rFonts w:ascii="Times New Roman" w:hAnsi="Times New Roman" w:cs="Times New Roman"/>
          <w:b/>
          <w:bCs/>
          <w:color w:val="000000" w:themeColor="text1"/>
          <w:sz w:val="24"/>
          <w:szCs w:val="24"/>
        </w:rPr>
        <w:t>处理</w:t>
      </w:r>
      <w:r>
        <w:rPr>
          <w:rFonts w:ascii="Times New Roman" w:hAnsi="Times New Roman" w:cs="Times New Roman"/>
          <w:b/>
          <w:bCs/>
          <w:color w:val="000000" w:themeColor="text1"/>
          <w:spacing w:val="2"/>
          <w:sz w:val="24"/>
          <w:szCs w:val="24"/>
        </w:rPr>
        <w:t>结</w:t>
      </w:r>
      <w:r>
        <w:rPr>
          <w:rFonts w:ascii="Times New Roman" w:hAnsi="Times New Roman" w:cs="Times New Roman"/>
          <w:b/>
          <w:bCs/>
          <w:color w:val="000000" w:themeColor="text1"/>
          <w:sz w:val="24"/>
          <w:szCs w:val="24"/>
        </w:rPr>
        <w:t>果</w:t>
      </w:r>
      <w:r>
        <w:rPr>
          <w:rFonts w:ascii="Times New Roman" w:hAnsi="Times New Roman" w:cs="Times New Roman"/>
          <w:b/>
          <w:bCs/>
          <w:color w:val="000000" w:themeColor="text1"/>
          <w:spacing w:val="2"/>
          <w:sz w:val="24"/>
          <w:szCs w:val="24"/>
        </w:rPr>
        <w:t>报</w:t>
      </w:r>
      <w:r>
        <w:rPr>
          <w:rFonts w:ascii="Times New Roman" w:hAnsi="Times New Roman" w:cs="Times New Roman"/>
          <w:b/>
          <w:bCs/>
          <w:color w:val="000000" w:themeColor="text1"/>
          <w:sz w:val="24"/>
          <w:szCs w:val="24"/>
        </w:rPr>
        <w:t>告）</w:t>
      </w:r>
      <w:bookmarkEnd w:id="1373"/>
      <w:bookmarkEnd w:id="1374"/>
      <w:bookmarkEnd w:id="1375"/>
      <w:bookmarkEnd w:id="1376"/>
      <w:bookmarkEnd w:id="1377"/>
      <w:bookmarkEnd w:id="1378"/>
    </w:p>
    <w:tbl>
      <w:tblPr>
        <w:tblStyle w:val="14"/>
        <w:tblW w:w="8907" w:type="dxa"/>
        <w:jc w:val="center"/>
        <w:tblLayout w:type="fixed"/>
        <w:tblCellMar>
          <w:top w:w="0" w:type="dxa"/>
          <w:left w:w="0" w:type="dxa"/>
          <w:bottom w:w="0" w:type="dxa"/>
          <w:right w:w="0" w:type="dxa"/>
        </w:tblCellMar>
      </w:tblPr>
      <w:tblGrid>
        <w:gridCol w:w="1482"/>
        <w:gridCol w:w="2970"/>
        <w:gridCol w:w="1484"/>
        <w:gridCol w:w="1484"/>
        <w:gridCol w:w="1487"/>
      </w:tblGrid>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报告方</w:t>
            </w:r>
            <w:r>
              <w:rPr>
                <w:rFonts w:ascii="Times New Roman" w:hAnsi="Times New Roman" w:cs="Times New Roman"/>
                <w:color w:val="000000" w:themeColor="text1"/>
                <w:sz w:val="24"/>
                <w:szCs w:val="24"/>
              </w:rPr>
              <w:t>式</w:t>
            </w:r>
          </w:p>
        </w:tc>
        <w:tc>
          <w:tcPr>
            <w:tcW w:w="297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电</w:t>
            </w:r>
            <w:r>
              <w:rPr>
                <w:rFonts w:ascii="Times New Roman" w:hAnsi="Times New Roman" w:cs="Times New Roman"/>
                <w:color w:val="000000" w:themeColor="text1"/>
                <w:spacing w:val="2"/>
                <w:sz w:val="24"/>
                <w:szCs w:val="24"/>
              </w:rPr>
              <w:t>话</w:t>
            </w:r>
            <w:r>
              <w:rPr>
                <w:rFonts w:ascii="Times New Roman" w:hAnsi="Times New Roman" w:cs="Times New Roman"/>
                <w:color w:val="000000" w:themeColor="text1"/>
                <w:sz w:val="24"/>
                <w:szCs w:val="24"/>
              </w:rPr>
              <w:t>报</w:t>
            </w:r>
            <w:r>
              <w:rPr>
                <w:rFonts w:ascii="Times New Roman" w:hAnsi="Times New Roman" w:cs="Times New Roman"/>
                <w:color w:val="000000" w:themeColor="text1"/>
                <w:spacing w:val="2"/>
                <w:sz w:val="24"/>
                <w:szCs w:val="24"/>
              </w:rPr>
              <w:t>告</w:t>
            </w:r>
            <w:r>
              <w:rPr>
                <w:rFonts w:ascii="Times New Roman" w:hAnsi="Times New Roman" w:cs="Times New Roman"/>
                <w:color w:val="000000" w:themeColor="text1"/>
                <w:sz w:val="24"/>
                <w:szCs w:val="24"/>
              </w:rPr>
              <w:t>或</w:t>
            </w:r>
            <w:r>
              <w:rPr>
                <w:rFonts w:ascii="Times New Roman" w:hAnsi="Times New Roman" w:cs="Times New Roman"/>
                <w:color w:val="000000" w:themeColor="text1"/>
                <w:spacing w:val="2"/>
                <w:sz w:val="24"/>
                <w:szCs w:val="24"/>
              </w:rPr>
              <w:t>网</w:t>
            </w:r>
            <w:r>
              <w:rPr>
                <w:rFonts w:ascii="Times New Roman" w:hAnsi="Times New Roman" w:cs="Times New Roman"/>
                <w:color w:val="000000" w:themeColor="text1"/>
                <w:sz w:val="24"/>
                <w:szCs w:val="24"/>
              </w:rPr>
              <w:t>络</w:t>
            </w:r>
            <w:r>
              <w:rPr>
                <w:rFonts w:ascii="Times New Roman" w:hAnsi="Times New Roman" w:cs="Times New Roman"/>
                <w:color w:val="000000" w:themeColor="text1"/>
                <w:spacing w:val="2"/>
                <w:sz w:val="24"/>
                <w:szCs w:val="24"/>
              </w:rPr>
              <w:t>报</w:t>
            </w:r>
            <w:r>
              <w:rPr>
                <w:rFonts w:ascii="Times New Roman" w:hAnsi="Times New Roman" w:cs="Times New Roman"/>
                <w:color w:val="000000" w:themeColor="text1"/>
                <w:sz w:val="24"/>
                <w:szCs w:val="24"/>
              </w:rPr>
              <w:t>告</w:t>
            </w:r>
          </w:p>
        </w:tc>
        <w:tc>
          <w:tcPr>
            <w:tcW w:w="1484"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报</w:t>
            </w:r>
            <w:r>
              <w:rPr>
                <w:rFonts w:ascii="Times New Roman" w:hAnsi="Times New Roman" w:cs="Times New Roman"/>
                <w:color w:val="000000" w:themeColor="text1"/>
                <w:spacing w:val="2"/>
                <w:sz w:val="24"/>
                <w:szCs w:val="24"/>
              </w:rPr>
              <w:t>告</w:t>
            </w:r>
            <w:r>
              <w:rPr>
                <w:rFonts w:ascii="Times New Roman" w:hAnsi="Times New Roman" w:cs="Times New Roman"/>
                <w:color w:val="000000" w:themeColor="text1"/>
                <w:sz w:val="24"/>
                <w:szCs w:val="24"/>
              </w:rPr>
              <w:t>人</w:t>
            </w: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报告时</w:t>
            </w:r>
            <w:r>
              <w:rPr>
                <w:rFonts w:ascii="Times New Roman" w:hAnsi="Times New Roman" w:cs="Times New Roman"/>
                <w:color w:val="000000" w:themeColor="text1"/>
                <w:sz w:val="24"/>
                <w:szCs w:val="24"/>
              </w:rPr>
              <w:t>间</w:t>
            </w:r>
          </w:p>
        </w:tc>
        <w:tc>
          <w:tcPr>
            <w:tcW w:w="7425"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年      月      日      时     分</w:t>
            </w: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单位名</w:t>
            </w:r>
            <w:r>
              <w:rPr>
                <w:rFonts w:ascii="Times New Roman" w:hAnsi="Times New Roman" w:cs="Times New Roman"/>
                <w:color w:val="000000" w:themeColor="text1"/>
                <w:sz w:val="24"/>
                <w:szCs w:val="24"/>
              </w:rPr>
              <w:t>称</w:t>
            </w:r>
          </w:p>
        </w:tc>
        <w:tc>
          <w:tcPr>
            <w:tcW w:w="7425"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地址</w:t>
            </w:r>
          </w:p>
        </w:tc>
        <w:tc>
          <w:tcPr>
            <w:tcW w:w="7425"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法人代</w:t>
            </w:r>
            <w:r>
              <w:rPr>
                <w:rFonts w:ascii="Times New Roman" w:hAnsi="Times New Roman" w:cs="Times New Roman"/>
                <w:color w:val="000000" w:themeColor="text1"/>
                <w:sz w:val="24"/>
                <w:szCs w:val="24"/>
              </w:rPr>
              <w:t>表</w:t>
            </w:r>
          </w:p>
        </w:tc>
        <w:tc>
          <w:tcPr>
            <w:tcW w:w="297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联系电话</w:t>
            </w:r>
          </w:p>
        </w:tc>
        <w:tc>
          <w:tcPr>
            <w:tcW w:w="1487"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562"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传真</w:t>
            </w:r>
          </w:p>
        </w:tc>
        <w:tc>
          <w:tcPr>
            <w:tcW w:w="297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Email</w:t>
            </w:r>
          </w:p>
        </w:tc>
        <w:tc>
          <w:tcPr>
            <w:tcW w:w="1487"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发生位</w:t>
            </w:r>
            <w:r>
              <w:rPr>
                <w:rFonts w:ascii="Times New Roman" w:hAnsi="Times New Roman" w:cs="Times New Roman"/>
                <w:color w:val="000000" w:themeColor="text1"/>
                <w:sz w:val="24"/>
                <w:szCs w:val="24"/>
              </w:rPr>
              <w:t>置</w:t>
            </w:r>
          </w:p>
        </w:tc>
        <w:tc>
          <w:tcPr>
            <w:tcW w:w="2970"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c>
          <w:tcPr>
            <w:tcW w:w="2968"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设备设</w:t>
            </w:r>
            <w:r>
              <w:rPr>
                <w:rFonts w:ascii="Times New Roman" w:hAnsi="Times New Roman" w:cs="Times New Roman"/>
                <w:color w:val="000000" w:themeColor="text1"/>
                <w:sz w:val="24"/>
                <w:szCs w:val="24"/>
              </w:rPr>
              <w:t>施</w:t>
            </w:r>
            <w:r>
              <w:rPr>
                <w:rFonts w:ascii="Times New Roman" w:hAnsi="Times New Roman" w:cs="Times New Roman"/>
                <w:color w:val="000000" w:themeColor="text1"/>
                <w:spacing w:val="2"/>
                <w:sz w:val="24"/>
                <w:szCs w:val="24"/>
              </w:rPr>
              <w:t>名</w:t>
            </w:r>
            <w:r>
              <w:rPr>
                <w:rFonts w:ascii="Times New Roman" w:hAnsi="Times New Roman" w:cs="Times New Roman"/>
                <w:color w:val="000000" w:themeColor="text1"/>
                <w:sz w:val="24"/>
                <w:szCs w:val="24"/>
              </w:rPr>
              <w:t>称</w:t>
            </w:r>
          </w:p>
        </w:tc>
        <w:tc>
          <w:tcPr>
            <w:tcW w:w="1487"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物料名</w:t>
            </w:r>
            <w:r>
              <w:rPr>
                <w:rFonts w:ascii="Times New Roman" w:hAnsi="Times New Roman" w:cs="Times New Roman"/>
                <w:color w:val="000000" w:themeColor="text1"/>
                <w:sz w:val="24"/>
                <w:szCs w:val="24"/>
              </w:rPr>
              <w:t>称</w:t>
            </w:r>
          </w:p>
        </w:tc>
        <w:tc>
          <w:tcPr>
            <w:tcW w:w="7425"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类型</w:t>
            </w:r>
          </w:p>
        </w:tc>
        <w:tc>
          <w:tcPr>
            <w:tcW w:w="7425" w:type="dxa"/>
            <w:gridSpan w:val="4"/>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泄漏火灾爆炸其它</w:t>
            </w:r>
          </w:p>
        </w:tc>
      </w:tr>
      <w:tr>
        <w:tblPrEx>
          <w:tblCellMar>
            <w:top w:w="0" w:type="dxa"/>
            <w:left w:w="0" w:type="dxa"/>
            <w:bottom w:w="0" w:type="dxa"/>
            <w:right w:w="0" w:type="dxa"/>
          </w:tblCellMar>
        </w:tblPrEx>
        <w:trPr>
          <w:trHeight w:val="634"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污染物名称</w:t>
            </w:r>
          </w:p>
        </w:tc>
        <w:tc>
          <w:tcPr>
            <w:tcW w:w="4454"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数量</w:t>
            </w: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排放去向</w:t>
            </w: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4454"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4454"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4454"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4454"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4454"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1482" w:type="dxa"/>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4454"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c>
          <w:tcPr>
            <w:tcW w:w="2971" w:type="dxa"/>
            <w:gridSpan w:val="2"/>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p>
        </w:tc>
      </w:tr>
      <w:tr>
        <w:tblPrEx>
          <w:tblCellMar>
            <w:top w:w="0" w:type="dxa"/>
            <w:left w:w="0" w:type="dxa"/>
            <w:bottom w:w="0" w:type="dxa"/>
            <w:right w:w="0" w:type="dxa"/>
          </w:tblCellMar>
        </w:tblPrEx>
        <w:trPr>
          <w:trHeight w:val="407"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jc w:val="center"/>
              <w:rPr>
                <w:rFonts w:ascii="Times New Roman" w:hAnsi="Times New Roman" w:cs="Times New Roman"/>
                <w:color w:val="000000" w:themeColor="text1"/>
                <w:sz w:val="24"/>
                <w:szCs w:val="24"/>
              </w:rPr>
            </w:pPr>
            <w:r>
              <w:rPr>
                <w:rFonts w:ascii="Times New Roman" w:hAnsi="Times New Roman" w:cs="Times New Roman"/>
                <w:color w:val="000000" w:themeColor="text1"/>
                <w:w w:val="99"/>
                <w:sz w:val="24"/>
                <w:szCs w:val="24"/>
              </w:rPr>
              <w:t>（报</w:t>
            </w:r>
            <w:r>
              <w:rPr>
                <w:rFonts w:ascii="Times New Roman" w:hAnsi="Times New Roman" w:cs="Times New Roman"/>
                <w:color w:val="000000" w:themeColor="text1"/>
                <w:spacing w:val="2"/>
                <w:w w:val="99"/>
                <w:sz w:val="24"/>
                <w:szCs w:val="24"/>
              </w:rPr>
              <w:t>告</w:t>
            </w:r>
            <w:r>
              <w:rPr>
                <w:rFonts w:ascii="Times New Roman" w:hAnsi="Times New Roman" w:cs="Times New Roman"/>
                <w:color w:val="000000" w:themeColor="text1"/>
                <w:w w:val="99"/>
                <w:sz w:val="24"/>
                <w:szCs w:val="24"/>
              </w:rPr>
              <w:t>正</w:t>
            </w:r>
            <w:r>
              <w:rPr>
                <w:rFonts w:ascii="Times New Roman" w:hAnsi="Times New Roman" w:cs="Times New Roman"/>
                <w:color w:val="000000" w:themeColor="text1"/>
                <w:spacing w:val="2"/>
                <w:w w:val="99"/>
                <w:sz w:val="24"/>
                <w:szCs w:val="24"/>
              </w:rPr>
              <w:t>文</w:t>
            </w:r>
            <w:r>
              <w:rPr>
                <w:rFonts w:ascii="Times New Roman" w:hAnsi="Times New Roman" w:cs="Times New Roman"/>
                <w:color w:val="000000" w:themeColor="text1"/>
                <w:w w:val="99"/>
                <w:sz w:val="24"/>
                <w:szCs w:val="24"/>
              </w:rPr>
              <w:t>）</w:t>
            </w:r>
          </w:p>
        </w:tc>
      </w:tr>
      <w:tr>
        <w:tblPrEx>
          <w:tblCellMar>
            <w:top w:w="0" w:type="dxa"/>
            <w:left w:w="0" w:type="dxa"/>
            <w:bottom w:w="0" w:type="dxa"/>
            <w:right w:w="0" w:type="dxa"/>
          </w:tblCellMar>
        </w:tblPrEx>
        <w:trPr>
          <w:trHeight w:val="407"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一</w:t>
            </w:r>
            <w:r>
              <w:rPr>
                <w:rFonts w:ascii="Times New Roman" w:hAnsi="Times New Roman" w:cs="Times New Roman"/>
                <w:color w:val="000000" w:themeColor="text1"/>
                <w:spacing w:val="2"/>
                <w:sz w:val="24"/>
                <w:szCs w:val="24"/>
              </w:rPr>
              <w:t>、</w:t>
            </w:r>
            <w:r>
              <w:rPr>
                <w:rFonts w:ascii="Times New Roman" w:hAnsi="Times New Roman" w:cs="Times New Roman"/>
                <w:color w:val="000000" w:themeColor="text1"/>
                <w:sz w:val="24"/>
                <w:szCs w:val="24"/>
              </w:rPr>
              <w:t>处</w:t>
            </w:r>
            <w:r>
              <w:rPr>
                <w:rFonts w:ascii="Times New Roman" w:hAnsi="Times New Roman" w:cs="Times New Roman"/>
                <w:color w:val="000000" w:themeColor="text1"/>
                <w:spacing w:val="2"/>
                <w:sz w:val="24"/>
                <w:szCs w:val="24"/>
              </w:rPr>
              <w:t>理</w:t>
            </w:r>
            <w:r>
              <w:rPr>
                <w:rFonts w:ascii="Times New Roman" w:hAnsi="Times New Roman" w:cs="Times New Roman"/>
                <w:color w:val="000000" w:themeColor="text1"/>
                <w:sz w:val="24"/>
                <w:szCs w:val="24"/>
              </w:rPr>
              <w:t>事</w:t>
            </w:r>
            <w:r>
              <w:rPr>
                <w:rFonts w:ascii="Times New Roman" w:hAnsi="Times New Roman" w:cs="Times New Roman"/>
                <w:color w:val="000000" w:themeColor="text1"/>
                <w:spacing w:val="2"/>
                <w:sz w:val="24"/>
                <w:szCs w:val="24"/>
              </w:rPr>
              <w:t>件</w:t>
            </w:r>
            <w:r>
              <w:rPr>
                <w:rFonts w:ascii="Times New Roman" w:hAnsi="Times New Roman" w:cs="Times New Roman"/>
                <w:color w:val="000000" w:themeColor="text1"/>
                <w:sz w:val="24"/>
                <w:szCs w:val="24"/>
              </w:rPr>
              <w:t>的</w:t>
            </w:r>
            <w:r>
              <w:rPr>
                <w:rFonts w:ascii="Times New Roman" w:hAnsi="Times New Roman" w:cs="Times New Roman"/>
                <w:color w:val="000000" w:themeColor="text1"/>
                <w:spacing w:val="2"/>
                <w:sz w:val="24"/>
                <w:szCs w:val="24"/>
              </w:rPr>
              <w:t>措</w:t>
            </w:r>
            <w:r>
              <w:rPr>
                <w:rFonts w:ascii="Times New Roman" w:hAnsi="Times New Roman" w:cs="Times New Roman"/>
                <w:color w:val="000000" w:themeColor="text1"/>
                <w:sz w:val="24"/>
                <w:szCs w:val="24"/>
              </w:rPr>
              <w:t>施</w:t>
            </w:r>
            <w:r>
              <w:rPr>
                <w:rFonts w:ascii="Times New Roman" w:hAnsi="Times New Roman" w:cs="Times New Roman"/>
                <w:color w:val="000000" w:themeColor="text1"/>
                <w:spacing w:val="2"/>
                <w:sz w:val="24"/>
                <w:szCs w:val="24"/>
              </w:rPr>
              <w:t>、</w:t>
            </w:r>
            <w:r>
              <w:rPr>
                <w:rFonts w:ascii="Times New Roman" w:hAnsi="Times New Roman" w:cs="Times New Roman"/>
                <w:color w:val="000000" w:themeColor="text1"/>
                <w:sz w:val="24"/>
                <w:szCs w:val="24"/>
              </w:rPr>
              <w:t>过</w:t>
            </w:r>
            <w:r>
              <w:rPr>
                <w:rFonts w:ascii="Times New Roman" w:hAnsi="Times New Roman" w:cs="Times New Roman"/>
                <w:color w:val="000000" w:themeColor="text1"/>
                <w:spacing w:val="2"/>
                <w:sz w:val="24"/>
                <w:szCs w:val="24"/>
              </w:rPr>
              <w:t>程</w:t>
            </w:r>
            <w:r>
              <w:rPr>
                <w:rFonts w:ascii="Times New Roman" w:hAnsi="Times New Roman" w:cs="Times New Roman"/>
                <w:color w:val="000000" w:themeColor="text1"/>
                <w:sz w:val="24"/>
                <w:szCs w:val="24"/>
              </w:rPr>
              <w:t>和</w:t>
            </w:r>
            <w:r>
              <w:rPr>
                <w:rFonts w:ascii="Times New Roman" w:hAnsi="Times New Roman" w:cs="Times New Roman"/>
                <w:color w:val="000000" w:themeColor="text1"/>
                <w:spacing w:val="2"/>
                <w:sz w:val="24"/>
                <w:szCs w:val="24"/>
              </w:rPr>
              <w:t>结</w:t>
            </w:r>
            <w:r>
              <w:rPr>
                <w:rFonts w:ascii="Times New Roman" w:hAnsi="Times New Roman" w:cs="Times New Roman"/>
                <w:color w:val="000000" w:themeColor="text1"/>
                <w:sz w:val="24"/>
                <w:szCs w:val="24"/>
              </w:rPr>
              <w:t>果：</w:t>
            </w:r>
          </w:p>
        </w:tc>
      </w:tr>
      <w:tr>
        <w:tblPrEx>
          <w:tblCellMar>
            <w:top w:w="0" w:type="dxa"/>
            <w:left w:w="0" w:type="dxa"/>
            <w:bottom w:w="0" w:type="dxa"/>
            <w:right w:w="0" w:type="dxa"/>
          </w:tblCellMar>
        </w:tblPrEx>
        <w:trPr>
          <w:trHeight w:val="407"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二</w:t>
            </w:r>
            <w:r>
              <w:rPr>
                <w:rFonts w:ascii="Times New Roman" w:hAnsi="Times New Roman" w:cs="Times New Roman"/>
                <w:color w:val="000000" w:themeColor="text1"/>
                <w:spacing w:val="2"/>
                <w:sz w:val="24"/>
                <w:szCs w:val="24"/>
              </w:rPr>
              <w:t>、</w:t>
            </w:r>
            <w:r>
              <w:rPr>
                <w:rFonts w:ascii="Times New Roman" w:hAnsi="Times New Roman" w:cs="Times New Roman"/>
                <w:color w:val="000000" w:themeColor="text1"/>
                <w:sz w:val="24"/>
                <w:szCs w:val="24"/>
              </w:rPr>
              <w:t>污</w:t>
            </w:r>
            <w:r>
              <w:rPr>
                <w:rFonts w:ascii="Times New Roman" w:hAnsi="Times New Roman" w:cs="Times New Roman"/>
                <w:color w:val="000000" w:themeColor="text1"/>
                <w:spacing w:val="2"/>
                <w:sz w:val="24"/>
                <w:szCs w:val="24"/>
              </w:rPr>
              <w:t>染</w:t>
            </w:r>
            <w:r>
              <w:rPr>
                <w:rFonts w:ascii="Times New Roman" w:hAnsi="Times New Roman" w:cs="Times New Roman"/>
                <w:color w:val="000000" w:themeColor="text1"/>
                <w:sz w:val="24"/>
                <w:szCs w:val="24"/>
              </w:rPr>
              <w:t>的</w:t>
            </w:r>
            <w:r>
              <w:rPr>
                <w:rFonts w:ascii="Times New Roman" w:hAnsi="Times New Roman" w:cs="Times New Roman"/>
                <w:color w:val="000000" w:themeColor="text1"/>
                <w:spacing w:val="2"/>
                <w:sz w:val="24"/>
                <w:szCs w:val="24"/>
              </w:rPr>
              <w:t>范</w:t>
            </w:r>
            <w:r>
              <w:rPr>
                <w:rFonts w:ascii="Times New Roman" w:hAnsi="Times New Roman" w:cs="Times New Roman"/>
                <w:color w:val="000000" w:themeColor="text1"/>
                <w:sz w:val="24"/>
                <w:szCs w:val="24"/>
              </w:rPr>
              <w:t>围</w:t>
            </w:r>
            <w:r>
              <w:rPr>
                <w:rFonts w:ascii="Times New Roman" w:hAnsi="Times New Roman" w:cs="Times New Roman"/>
                <w:color w:val="000000" w:themeColor="text1"/>
                <w:spacing w:val="2"/>
                <w:sz w:val="24"/>
                <w:szCs w:val="24"/>
              </w:rPr>
              <w:t>和</w:t>
            </w:r>
            <w:r>
              <w:rPr>
                <w:rFonts w:ascii="Times New Roman" w:hAnsi="Times New Roman" w:cs="Times New Roman"/>
                <w:color w:val="000000" w:themeColor="text1"/>
                <w:sz w:val="24"/>
                <w:szCs w:val="24"/>
              </w:rPr>
              <w:t>程</w:t>
            </w:r>
            <w:r>
              <w:rPr>
                <w:rFonts w:ascii="Times New Roman" w:hAnsi="Times New Roman" w:cs="Times New Roman"/>
                <w:color w:val="000000" w:themeColor="text1"/>
                <w:spacing w:val="2"/>
                <w:sz w:val="24"/>
                <w:szCs w:val="24"/>
              </w:rPr>
              <w:t>度</w:t>
            </w:r>
            <w:r>
              <w:rPr>
                <w:rFonts w:ascii="Times New Roman" w:hAnsi="Times New Roman" w:cs="Times New Roman"/>
                <w:color w:val="000000" w:themeColor="text1"/>
                <w:sz w:val="24"/>
                <w:szCs w:val="24"/>
              </w:rPr>
              <w:t>：</w:t>
            </w:r>
          </w:p>
        </w:tc>
      </w:tr>
      <w:tr>
        <w:tblPrEx>
          <w:tblCellMar>
            <w:top w:w="0" w:type="dxa"/>
            <w:left w:w="0" w:type="dxa"/>
            <w:bottom w:w="0" w:type="dxa"/>
            <w:right w:w="0" w:type="dxa"/>
          </w:tblCellMar>
        </w:tblPrEx>
        <w:trPr>
          <w:trHeight w:val="407"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三</w:t>
            </w:r>
            <w:r>
              <w:rPr>
                <w:rFonts w:ascii="Times New Roman" w:hAnsi="Times New Roman" w:cs="Times New Roman"/>
                <w:color w:val="000000" w:themeColor="text1"/>
                <w:spacing w:val="2"/>
                <w:sz w:val="24"/>
                <w:szCs w:val="24"/>
              </w:rPr>
              <w:t>、</w:t>
            </w:r>
            <w:r>
              <w:rPr>
                <w:rFonts w:ascii="Times New Roman" w:hAnsi="Times New Roman" w:cs="Times New Roman"/>
                <w:color w:val="000000" w:themeColor="text1"/>
                <w:sz w:val="24"/>
                <w:szCs w:val="24"/>
              </w:rPr>
              <w:t>事</w:t>
            </w:r>
            <w:r>
              <w:rPr>
                <w:rFonts w:ascii="Times New Roman" w:hAnsi="Times New Roman" w:cs="Times New Roman"/>
                <w:color w:val="000000" w:themeColor="text1"/>
                <w:spacing w:val="2"/>
                <w:sz w:val="24"/>
                <w:szCs w:val="24"/>
              </w:rPr>
              <w:t>件</w:t>
            </w:r>
            <w:r>
              <w:rPr>
                <w:rFonts w:ascii="Times New Roman" w:hAnsi="Times New Roman" w:cs="Times New Roman"/>
                <w:color w:val="000000" w:themeColor="text1"/>
                <w:sz w:val="24"/>
                <w:szCs w:val="24"/>
              </w:rPr>
              <w:t>潜</w:t>
            </w:r>
            <w:r>
              <w:rPr>
                <w:rFonts w:ascii="Times New Roman" w:hAnsi="Times New Roman" w:cs="Times New Roman"/>
                <w:color w:val="000000" w:themeColor="text1"/>
                <w:spacing w:val="2"/>
                <w:sz w:val="24"/>
                <w:szCs w:val="24"/>
              </w:rPr>
              <w:t>在</w:t>
            </w:r>
            <w:r>
              <w:rPr>
                <w:rFonts w:ascii="Times New Roman" w:hAnsi="Times New Roman" w:cs="Times New Roman"/>
                <w:color w:val="000000" w:themeColor="text1"/>
                <w:sz w:val="24"/>
                <w:szCs w:val="24"/>
              </w:rPr>
              <w:t>或</w:t>
            </w:r>
            <w:r>
              <w:rPr>
                <w:rFonts w:ascii="Times New Roman" w:hAnsi="Times New Roman" w:cs="Times New Roman"/>
                <w:color w:val="000000" w:themeColor="text1"/>
                <w:spacing w:val="2"/>
                <w:sz w:val="24"/>
                <w:szCs w:val="24"/>
              </w:rPr>
              <w:t>间</w:t>
            </w:r>
            <w:r>
              <w:rPr>
                <w:rFonts w:ascii="Times New Roman" w:hAnsi="Times New Roman" w:cs="Times New Roman"/>
                <w:color w:val="000000" w:themeColor="text1"/>
                <w:sz w:val="24"/>
                <w:szCs w:val="24"/>
              </w:rPr>
              <w:t>接</w:t>
            </w:r>
            <w:r>
              <w:rPr>
                <w:rFonts w:ascii="Times New Roman" w:hAnsi="Times New Roman" w:cs="Times New Roman"/>
                <w:color w:val="000000" w:themeColor="text1"/>
                <w:spacing w:val="2"/>
                <w:sz w:val="24"/>
                <w:szCs w:val="24"/>
              </w:rPr>
              <w:t>的</w:t>
            </w:r>
            <w:r>
              <w:rPr>
                <w:rFonts w:ascii="Times New Roman" w:hAnsi="Times New Roman" w:cs="Times New Roman"/>
                <w:color w:val="000000" w:themeColor="text1"/>
                <w:sz w:val="24"/>
                <w:szCs w:val="24"/>
              </w:rPr>
              <w:t>危</w:t>
            </w:r>
            <w:r>
              <w:rPr>
                <w:rFonts w:ascii="Times New Roman" w:hAnsi="Times New Roman" w:cs="Times New Roman"/>
                <w:color w:val="000000" w:themeColor="text1"/>
                <w:spacing w:val="2"/>
                <w:sz w:val="24"/>
                <w:szCs w:val="24"/>
              </w:rPr>
              <w:t>害</w:t>
            </w:r>
            <w:r>
              <w:rPr>
                <w:rFonts w:ascii="Times New Roman" w:hAnsi="Times New Roman" w:cs="Times New Roman"/>
                <w:color w:val="000000" w:themeColor="text1"/>
                <w:sz w:val="24"/>
                <w:szCs w:val="24"/>
              </w:rPr>
              <w:t>、</w:t>
            </w:r>
            <w:r>
              <w:rPr>
                <w:rFonts w:ascii="Times New Roman" w:hAnsi="Times New Roman" w:cs="Times New Roman"/>
                <w:color w:val="000000" w:themeColor="text1"/>
                <w:spacing w:val="2"/>
                <w:sz w:val="24"/>
                <w:szCs w:val="24"/>
              </w:rPr>
              <w:t>社</w:t>
            </w:r>
            <w:r>
              <w:rPr>
                <w:rFonts w:ascii="Times New Roman" w:hAnsi="Times New Roman" w:cs="Times New Roman"/>
                <w:color w:val="000000" w:themeColor="text1"/>
                <w:sz w:val="24"/>
                <w:szCs w:val="24"/>
              </w:rPr>
              <w:t>会</w:t>
            </w:r>
            <w:r>
              <w:rPr>
                <w:rFonts w:ascii="Times New Roman" w:hAnsi="Times New Roman" w:cs="Times New Roman"/>
                <w:color w:val="000000" w:themeColor="text1"/>
                <w:spacing w:val="2"/>
                <w:sz w:val="24"/>
                <w:szCs w:val="24"/>
              </w:rPr>
              <w:t>影</w:t>
            </w:r>
            <w:r>
              <w:rPr>
                <w:rFonts w:ascii="Times New Roman" w:hAnsi="Times New Roman" w:cs="Times New Roman"/>
                <w:color w:val="000000" w:themeColor="text1"/>
                <w:sz w:val="24"/>
                <w:szCs w:val="24"/>
              </w:rPr>
              <w:t>响：</w:t>
            </w:r>
          </w:p>
        </w:tc>
      </w:tr>
      <w:tr>
        <w:tblPrEx>
          <w:tblCellMar>
            <w:top w:w="0" w:type="dxa"/>
            <w:left w:w="0" w:type="dxa"/>
            <w:bottom w:w="0" w:type="dxa"/>
            <w:right w:w="0" w:type="dxa"/>
          </w:tblCellMar>
        </w:tblPrEx>
        <w:trPr>
          <w:trHeight w:val="407"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四</w:t>
            </w:r>
            <w:r>
              <w:rPr>
                <w:rFonts w:ascii="Times New Roman" w:hAnsi="Times New Roman" w:cs="Times New Roman"/>
                <w:color w:val="000000" w:themeColor="text1"/>
                <w:spacing w:val="2"/>
                <w:sz w:val="24"/>
                <w:szCs w:val="24"/>
              </w:rPr>
              <w:t>、</w:t>
            </w:r>
            <w:r>
              <w:rPr>
                <w:rFonts w:ascii="Times New Roman" w:hAnsi="Times New Roman" w:cs="Times New Roman"/>
                <w:color w:val="000000" w:themeColor="text1"/>
                <w:sz w:val="24"/>
                <w:szCs w:val="24"/>
              </w:rPr>
              <w:t>处</w:t>
            </w:r>
            <w:r>
              <w:rPr>
                <w:rFonts w:ascii="Times New Roman" w:hAnsi="Times New Roman" w:cs="Times New Roman"/>
                <w:color w:val="000000" w:themeColor="text1"/>
                <w:spacing w:val="2"/>
                <w:sz w:val="24"/>
                <w:szCs w:val="24"/>
              </w:rPr>
              <w:t>理</w:t>
            </w:r>
            <w:r>
              <w:rPr>
                <w:rFonts w:ascii="Times New Roman" w:hAnsi="Times New Roman" w:cs="Times New Roman"/>
                <w:color w:val="000000" w:themeColor="text1"/>
                <w:sz w:val="24"/>
                <w:szCs w:val="24"/>
              </w:rPr>
              <w:t>后</w:t>
            </w:r>
            <w:r>
              <w:rPr>
                <w:rFonts w:ascii="Times New Roman" w:hAnsi="Times New Roman" w:cs="Times New Roman"/>
                <w:color w:val="000000" w:themeColor="text1"/>
                <w:spacing w:val="2"/>
                <w:sz w:val="24"/>
                <w:szCs w:val="24"/>
              </w:rPr>
              <w:t>的</w:t>
            </w:r>
            <w:r>
              <w:rPr>
                <w:rFonts w:ascii="Times New Roman" w:hAnsi="Times New Roman" w:cs="Times New Roman"/>
                <w:color w:val="000000" w:themeColor="text1"/>
                <w:sz w:val="24"/>
                <w:szCs w:val="24"/>
              </w:rPr>
              <w:t>遗</w:t>
            </w:r>
            <w:r>
              <w:rPr>
                <w:rFonts w:ascii="Times New Roman" w:hAnsi="Times New Roman" w:cs="Times New Roman"/>
                <w:color w:val="000000" w:themeColor="text1"/>
                <w:spacing w:val="2"/>
                <w:sz w:val="24"/>
                <w:szCs w:val="24"/>
              </w:rPr>
              <w:t>留</w:t>
            </w:r>
            <w:r>
              <w:rPr>
                <w:rFonts w:ascii="Times New Roman" w:hAnsi="Times New Roman" w:cs="Times New Roman"/>
                <w:color w:val="000000" w:themeColor="text1"/>
                <w:sz w:val="24"/>
                <w:szCs w:val="24"/>
              </w:rPr>
              <w:t>问</w:t>
            </w:r>
            <w:r>
              <w:rPr>
                <w:rFonts w:ascii="Times New Roman" w:hAnsi="Times New Roman" w:cs="Times New Roman"/>
                <w:color w:val="000000" w:themeColor="text1"/>
                <w:spacing w:val="2"/>
                <w:sz w:val="24"/>
                <w:szCs w:val="24"/>
              </w:rPr>
              <w:t>题</w:t>
            </w:r>
            <w:r>
              <w:rPr>
                <w:rFonts w:ascii="Times New Roman" w:hAnsi="Times New Roman" w:cs="Times New Roman"/>
                <w:color w:val="000000" w:themeColor="text1"/>
                <w:sz w:val="24"/>
                <w:szCs w:val="24"/>
              </w:rPr>
              <w:t>：</w:t>
            </w:r>
          </w:p>
        </w:tc>
      </w:tr>
      <w:tr>
        <w:tblPrEx>
          <w:tblCellMar>
            <w:top w:w="0" w:type="dxa"/>
            <w:left w:w="0" w:type="dxa"/>
            <w:bottom w:w="0" w:type="dxa"/>
            <w:right w:w="0" w:type="dxa"/>
          </w:tblCellMar>
        </w:tblPrEx>
        <w:trPr>
          <w:trHeight w:val="407"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五</w:t>
            </w:r>
            <w:r>
              <w:rPr>
                <w:rFonts w:ascii="Times New Roman" w:hAnsi="Times New Roman" w:cs="Times New Roman"/>
                <w:color w:val="000000" w:themeColor="text1"/>
                <w:spacing w:val="2"/>
                <w:sz w:val="24"/>
                <w:szCs w:val="24"/>
              </w:rPr>
              <w:t>、</w:t>
            </w:r>
            <w:r>
              <w:rPr>
                <w:rFonts w:ascii="Times New Roman" w:hAnsi="Times New Roman" w:cs="Times New Roman"/>
                <w:color w:val="000000" w:themeColor="text1"/>
                <w:sz w:val="24"/>
                <w:szCs w:val="24"/>
              </w:rPr>
              <w:t>参</w:t>
            </w:r>
            <w:r>
              <w:rPr>
                <w:rFonts w:ascii="Times New Roman" w:hAnsi="Times New Roman" w:cs="Times New Roman"/>
                <w:color w:val="000000" w:themeColor="text1"/>
                <w:spacing w:val="2"/>
                <w:sz w:val="24"/>
                <w:szCs w:val="24"/>
              </w:rPr>
              <w:t>加</w:t>
            </w:r>
            <w:r>
              <w:rPr>
                <w:rFonts w:ascii="Times New Roman" w:hAnsi="Times New Roman" w:cs="Times New Roman"/>
                <w:color w:val="000000" w:themeColor="text1"/>
                <w:sz w:val="24"/>
                <w:szCs w:val="24"/>
              </w:rPr>
              <w:t>处</w:t>
            </w:r>
            <w:r>
              <w:rPr>
                <w:rFonts w:ascii="Times New Roman" w:hAnsi="Times New Roman" w:cs="Times New Roman"/>
                <w:color w:val="000000" w:themeColor="text1"/>
                <w:spacing w:val="2"/>
                <w:sz w:val="24"/>
                <w:szCs w:val="24"/>
              </w:rPr>
              <w:t>理</w:t>
            </w:r>
            <w:r>
              <w:rPr>
                <w:rFonts w:ascii="Times New Roman" w:hAnsi="Times New Roman" w:cs="Times New Roman"/>
                <w:color w:val="000000" w:themeColor="text1"/>
                <w:sz w:val="24"/>
                <w:szCs w:val="24"/>
              </w:rPr>
              <w:t>工</w:t>
            </w:r>
            <w:r>
              <w:rPr>
                <w:rFonts w:ascii="Times New Roman" w:hAnsi="Times New Roman" w:cs="Times New Roman"/>
                <w:color w:val="000000" w:themeColor="text1"/>
                <w:spacing w:val="2"/>
                <w:sz w:val="24"/>
                <w:szCs w:val="24"/>
              </w:rPr>
              <w:t>作</w:t>
            </w:r>
            <w:r>
              <w:rPr>
                <w:rFonts w:ascii="Times New Roman" w:hAnsi="Times New Roman" w:cs="Times New Roman"/>
                <w:color w:val="000000" w:themeColor="text1"/>
                <w:sz w:val="24"/>
                <w:szCs w:val="24"/>
              </w:rPr>
              <w:t>的</w:t>
            </w:r>
            <w:r>
              <w:rPr>
                <w:rFonts w:ascii="Times New Roman" w:hAnsi="Times New Roman" w:cs="Times New Roman"/>
                <w:color w:val="000000" w:themeColor="text1"/>
                <w:spacing w:val="2"/>
                <w:sz w:val="24"/>
                <w:szCs w:val="24"/>
              </w:rPr>
              <w:t>有</w:t>
            </w:r>
            <w:r>
              <w:rPr>
                <w:rFonts w:ascii="Times New Roman" w:hAnsi="Times New Roman" w:cs="Times New Roman"/>
                <w:color w:val="000000" w:themeColor="text1"/>
                <w:sz w:val="24"/>
                <w:szCs w:val="24"/>
              </w:rPr>
              <w:t>关</w:t>
            </w:r>
            <w:r>
              <w:rPr>
                <w:rFonts w:ascii="Times New Roman" w:hAnsi="Times New Roman" w:cs="Times New Roman"/>
                <w:color w:val="000000" w:themeColor="text1"/>
                <w:spacing w:val="2"/>
                <w:sz w:val="24"/>
                <w:szCs w:val="24"/>
              </w:rPr>
              <w:t>部</w:t>
            </w:r>
            <w:r>
              <w:rPr>
                <w:rFonts w:ascii="Times New Roman" w:hAnsi="Times New Roman" w:cs="Times New Roman"/>
                <w:color w:val="000000" w:themeColor="text1"/>
                <w:sz w:val="24"/>
                <w:szCs w:val="24"/>
              </w:rPr>
              <w:t>门</w:t>
            </w:r>
            <w:r>
              <w:rPr>
                <w:rFonts w:ascii="Times New Roman" w:hAnsi="Times New Roman" w:cs="Times New Roman"/>
                <w:color w:val="000000" w:themeColor="text1"/>
                <w:spacing w:val="2"/>
                <w:sz w:val="24"/>
                <w:szCs w:val="24"/>
              </w:rPr>
              <w:t>和</w:t>
            </w:r>
            <w:r>
              <w:rPr>
                <w:rFonts w:ascii="Times New Roman" w:hAnsi="Times New Roman" w:cs="Times New Roman"/>
                <w:color w:val="000000" w:themeColor="text1"/>
                <w:sz w:val="24"/>
                <w:szCs w:val="24"/>
              </w:rPr>
              <w:t>工</w:t>
            </w:r>
            <w:r>
              <w:rPr>
                <w:rFonts w:ascii="Times New Roman" w:hAnsi="Times New Roman" w:cs="Times New Roman"/>
                <w:color w:val="000000" w:themeColor="text1"/>
                <w:spacing w:val="2"/>
                <w:sz w:val="24"/>
                <w:szCs w:val="24"/>
              </w:rPr>
              <w:t>作</w:t>
            </w:r>
            <w:r>
              <w:rPr>
                <w:rFonts w:ascii="Times New Roman" w:hAnsi="Times New Roman" w:cs="Times New Roman"/>
                <w:color w:val="000000" w:themeColor="text1"/>
                <w:sz w:val="24"/>
                <w:szCs w:val="24"/>
              </w:rPr>
              <w:t>内</w:t>
            </w:r>
            <w:r>
              <w:rPr>
                <w:rFonts w:ascii="Times New Roman" w:hAnsi="Times New Roman" w:cs="Times New Roman"/>
                <w:color w:val="000000" w:themeColor="text1"/>
                <w:spacing w:val="2"/>
                <w:sz w:val="24"/>
                <w:szCs w:val="24"/>
              </w:rPr>
              <w:t>容</w:t>
            </w:r>
            <w:r>
              <w:rPr>
                <w:rFonts w:ascii="Times New Roman" w:hAnsi="Times New Roman" w:cs="Times New Roman"/>
                <w:color w:val="000000" w:themeColor="text1"/>
                <w:sz w:val="24"/>
                <w:szCs w:val="24"/>
              </w:rPr>
              <w:t>：</w:t>
            </w:r>
          </w:p>
        </w:tc>
      </w:tr>
      <w:tr>
        <w:tblPrEx>
          <w:tblCellMar>
            <w:top w:w="0" w:type="dxa"/>
            <w:left w:w="0" w:type="dxa"/>
            <w:bottom w:w="0" w:type="dxa"/>
            <w:right w:w="0" w:type="dxa"/>
          </w:tblCellMar>
        </w:tblPrEx>
        <w:trPr>
          <w:trHeight w:val="634"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rPr>
                <w:rFonts w:ascii="Times New Roman" w:hAnsi="Times New Roman" w:cs="Times New Roman"/>
                <w:color w:val="000000" w:themeColor="text1"/>
                <w:sz w:val="24"/>
                <w:szCs w:val="24"/>
              </w:rPr>
            </w:pPr>
            <w:r>
              <w:rPr>
                <w:rFonts w:ascii="Times New Roman" w:hAnsi="Times New Roman" w:cs="Times New Roman"/>
                <w:color w:val="000000" w:themeColor="text1"/>
                <w:spacing w:val="2"/>
                <w:sz w:val="24"/>
                <w:szCs w:val="24"/>
              </w:rPr>
              <w:t>六</w:t>
            </w:r>
            <w:r>
              <w:rPr>
                <w:rFonts w:ascii="Times New Roman" w:hAnsi="Times New Roman" w:cs="Times New Roman"/>
                <w:color w:val="000000" w:themeColor="text1"/>
                <w:sz w:val="24"/>
                <w:szCs w:val="24"/>
              </w:rPr>
              <w:t>、</w:t>
            </w:r>
            <w:r>
              <w:rPr>
                <w:rFonts w:ascii="Times New Roman" w:hAnsi="Times New Roman" w:cs="Times New Roman"/>
                <w:color w:val="000000" w:themeColor="text1"/>
                <w:spacing w:val="2"/>
                <w:sz w:val="24"/>
                <w:szCs w:val="24"/>
              </w:rPr>
              <w:t>有</w:t>
            </w:r>
            <w:r>
              <w:rPr>
                <w:rFonts w:ascii="Times New Roman" w:hAnsi="Times New Roman" w:cs="Times New Roman"/>
                <w:color w:val="000000" w:themeColor="text1"/>
                <w:sz w:val="24"/>
                <w:szCs w:val="24"/>
              </w:rPr>
              <w:t>关</w:t>
            </w:r>
            <w:r>
              <w:rPr>
                <w:rFonts w:ascii="Times New Roman" w:hAnsi="Times New Roman" w:cs="Times New Roman"/>
                <w:color w:val="000000" w:themeColor="text1"/>
                <w:spacing w:val="2"/>
                <w:sz w:val="24"/>
                <w:szCs w:val="24"/>
              </w:rPr>
              <w:t>危</w:t>
            </w:r>
            <w:r>
              <w:rPr>
                <w:rFonts w:ascii="Times New Roman" w:hAnsi="Times New Roman" w:cs="Times New Roman"/>
                <w:color w:val="000000" w:themeColor="text1"/>
                <w:sz w:val="24"/>
                <w:szCs w:val="24"/>
              </w:rPr>
              <w:t>害</w:t>
            </w:r>
            <w:r>
              <w:rPr>
                <w:rFonts w:ascii="Times New Roman" w:hAnsi="Times New Roman" w:cs="Times New Roman"/>
                <w:color w:val="000000" w:themeColor="text1"/>
                <w:spacing w:val="2"/>
                <w:sz w:val="24"/>
                <w:szCs w:val="24"/>
              </w:rPr>
              <w:t>与</w:t>
            </w:r>
            <w:r>
              <w:rPr>
                <w:rFonts w:ascii="Times New Roman" w:hAnsi="Times New Roman" w:cs="Times New Roman"/>
                <w:color w:val="000000" w:themeColor="text1"/>
                <w:sz w:val="24"/>
                <w:szCs w:val="24"/>
              </w:rPr>
              <w:t>损</w:t>
            </w:r>
            <w:r>
              <w:rPr>
                <w:rFonts w:ascii="Times New Roman" w:hAnsi="Times New Roman" w:cs="Times New Roman"/>
                <w:color w:val="000000" w:themeColor="text1"/>
                <w:spacing w:val="2"/>
                <w:sz w:val="24"/>
                <w:szCs w:val="24"/>
              </w:rPr>
              <w:t>失</w:t>
            </w:r>
            <w:r>
              <w:rPr>
                <w:rFonts w:ascii="Times New Roman" w:hAnsi="Times New Roman" w:cs="Times New Roman"/>
                <w:color w:val="000000" w:themeColor="text1"/>
                <w:sz w:val="24"/>
                <w:szCs w:val="24"/>
              </w:rPr>
              <w:t>的</w:t>
            </w:r>
            <w:r>
              <w:rPr>
                <w:rFonts w:ascii="Times New Roman" w:hAnsi="Times New Roman" w:cs="Times New Roman"/>
                <w:color w:val="000000" w:themeColor="text1"/>
                <w:spacing w:val="2"/>
                <w:sz w:val="24"/>
                <w:szCs w:val="24"/>
              </w:rPr>
              <w:t>证</w:t>
            </w:r>
            <w:r>
              <w:rPr>
                <w:rFonts w:ascii="Times New Roman" w:hAnsi="Times New Roman" w:cs="Times New Roman"/>
                <w:color w:val="000000" w:themeColor="text1"/>
                <w:sz w:val="24"/>
                <w:szCs w:val="24"/>
              </w:rPr>
              <w:t>明</w:t>
            </w:r>
            <w:r>
              <w:rPr>
                <w:rFonts w:ascii="Times New Roman" w:hAnsi="Times New Roman" w:cs="Times New Roman"/>
                <w:color w:val="000000" w:themeColor="text1"/>
                <w:spacing w:val="2"/>
                <w:sz w:val="24"/>
                <w:szCs w:val="24"/>
              </w:rPr>
              <w:t>文</w:t>
            </w:r>
            <w:r>
              <w:rPr>
                <w:rFonts w:ascii="Times New Roman" w:hAnsi="Times New Roman" w:cs="Times New Roman"/>
                <w:color w:val="000000" w:themeColor="text1"/>
                <w:sz w:val="24"/>
                <w:szCs w:val="24"/>
              </w:rPr>
              <w:t>件</w:t>
            </w:r>
            <w:r>
              <w:rPr>
                <w:rFonts w:ascii="Times New Roman" w:hAnsi="Times New Roman" w:cs="Times New Roman"/>
                <w:color w:val="000000" w:themeColor="text1"/>
                <w:spacing w:val="2"/>
                <w:sz w:val="24"/>
                <w:szCs w:val="24"/>
              </w:rPr>
              <w:t>等</w:t>
            </w:r>
            <w:r>
              <w:rPr>
                <w:rFonts w:ascii="Times New Roman" w:hAnsi="Times New Roman" w:cs="Times New Roman"/>
                <w:color w:val="000000" w:themeColor="text1"/>
                <w:sz w:val="24"/>
                <w:szCs w:val="24"/>
              </w:rPr>
              <w:t>详</w:t>
            </w:r>
            <w:r>
              <w:rPr>
                <w:rFonts w:ascii="Times New Roman" w:hAnsi="Times New Roman" w:cs="Times New Roman"/>
                <w:color w:val="000000" w:themeColor="text1"/>
                <w:spacing w:val="2"/>
                <w:sz w:val="24"/>
                <w:szCs w:val="24"/>
              </w:rPr>
              <w:t>细</w:t>
            </w:r>
            <w:r>
              <w:rPr>
                <w:rFonts w:ascii="Times New Roman" w:hAnsi="Times New Roman" w:cs="Times New Roman"/>
                <w:color w:val="000000" w:themeColor="text1"/>
                <w:sz w:val="24"/>
                <w:szCs w:val="24"/>
              </w:rPr>
              <w:t>情</w:t>
            </w:r>
            <w:r>
              <w:rPr>
                <w:rFonts w:ascii="Times New Roman" w:hAnsi="Times New Roman" w:cs="Times New Roman"/>
                <w:color w:val="000000" w:themeColor="text1"/>
                <w:spacing w:val="2"/>
                <w:sz w:val="24"/>
                <w:szCs w:val="24"/>
              </w:rPr>
              <w:t>况</w:t>
            </w:r>
            <w:r>
              <w:rPr>
                <w:rFonts w:ascii="Times New Roman" w:hAnsi="Times New Roman" w:cs="Times New Roman"/>
                <w:color w:val="000000" w:themeColor="text1"/>
                <w:sz w:val="24"/>
                <w:szCs w:val="24"/>
              </w:rPr>
              <w:t>。</w:t>
            </w:r>
          </w:p>
        </w:tc>
      </w:tr>
      <w:tr>
        <w:tblPrEx>
          <w:tblCellMar>
            <w:top w:w="0" w:type="dxa"/>
            <w:left w:w="0" w:type="dxa"/>
            <w:bottom w:w="0" w:type="dxa"/>
            <w:right w:w="0" w:type="dxa"/>
          </w:tblCellMar>
        </w:tblPrEx>
        <w:trPr>
          <w:trHeight w:val="407" w:hRule="exact"/>
          <w:jc w:val="center"/>
        </w:trPr>
        <w:tc>
          <w:tcPr>
            <w:tcW w:w="8907" w:type="dxa"/>
            <w:gridSpan w:val="5"/>
            <w:tcBorders>
              <w:top w:val="single" w:color="000000" w:sz="4" w:space="0"/>
              <w:left w:val="single" w:color="000000" w:sz="4" w:space="0"/>
              <w:bottom w:val="single" w:color="000000" w:sz="4" w:space="0"/>
              <w:right w:val="single" w:color="000000" w:sz="4" w:space="0"/>
            </w:tcBorders>
            <w:vAlign w:val="center"/>
          </w:tcPr>
          <w:p>
            <w:pPr>
              <w:jc w:val="right"/>
              <w:rPr>
                <w:rFonts w:ascii="Times New Roman" w:hAnsi="Times New Roman" w:cs="Times New Roman"/>
                <w:color w:val="000000" w:themeColor="text1"/>
                <w:sz w:val="24"/>
                <w:szCs w:val="24"/>
              </w:rPr>
            </w:pPr>
            <w:r>
              <w:rPr>
                <w:rFonts w:ascii="Times New Roman" w:hAnsi="Times New Roman" w:cs="Times New Roman"/>
                <w:color w:val="000000" w:themeColor="text1"/>
                <w:w w:val="99"/>
                <w:sz w:val="24"/>
                <w:szCs w:val="24"/>
              </w:rPr>
              <w:t>（</w:t>
            </w:r>
            <w:r>
              <w:rPr>
                <w:rFonts w:ascii="Times New Roman" w:hAnsi="Times New Roman" w:cs="Times New Roman"/>
                <w:color w:val="000000" w:themeColor="text1"/>
                <w:spacing w:val="2"/>
                <w:w w:val="99"/>
                <w:sz w:val="24"/>
                <w:szCs w:val="24"/>
              </w:rPr>
              <w:t>不</w:t>
            </w:r>
            <w:r>
              <w:rPr>
                <w:rFonts w:ascii="Times New Roman" w:hAnsi="Times New Roman" w:cs="Times New Roman"/>
                <w:color w:val="000000" w:themeColor="text1"/>
                <w:w w:val="99"/>
                <w:sz w:val="24"/>
                <w:szCs w:val="24"/>
              </w:rPr>
              <w:t>够</w:t>
            </w:r>
            <w:r>
              <w:rPr>
                <w:rFonts w:ascii="Times New Roman" w:hAnsi="Times New Roman" w:cs="Times New Roman"/>
                <w:color w:val="000000" w:themeColor="text1"/>
                <w:spacing w:val="2"/>
                <w:w w:val="99"/>
                <w:sz w:val="24"/>
                <w:szCs w:val="24"/>
              </w:rPr>
              <w:t>可</w:t>
            </w:r>
            <w:r>
              <w:rPr>
                <w:rFonts w:ascii="Times New Roman" w:hAnsi="Times New Roman" w:cs="Times New Roman"/>
                <w:color w:val="000000" w:themeColor="text1"/>
                <w:w w:val="99"/>
                <w:sz w:val="24"/>
                <w:szCs w:val="24"/>
              </w:rPr>
              <w:t>附</w:t>
            </w:r>
            <w:r>
              <w:rPr>
                <w:rFonts w:ascii="Times New Roman" w:hAnsi="Times New Roman" w:cs="Times New Roman"/>
                <w:color w:val="000000" w:themeColor="text1"/>
                <w:spacing w:val="2"/>
                <w:w w:val="99"/>
                <w:sz w:val="24"/>
                <w:szCs w:val="24"/>
              </w:rPr>
              <w:t>页</w:t>
            </w:r>
            <w:r>
              <w:rPr>
                <w:rFonts w:ascii="Times New Roman" w:hAnsi="Times New Roman" w:cs="Times New Roman"/>
                <w:color w:val="000000" w:themeColor="text1"/>
                <w:w w:val="99"/>
                <w:sz w:val="24"/>
                <w:szCs w:val="24"/>
              </w:rPr>
              <w:t>）</w:t>
            </w:r>
          </w:p>
        </w:tc>
      </w:tr>
      <w:bookmarkEnd w:id="385"/>
    </w:tbl>
    <w:p>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type="page"/>
      </w:r>
    </w:p>
    <w:p>
      <w:pPr>
        <w:keepNext/>
        <w:keepLines/>
        <w:spacing w:beforeLines="150" w:line="360" w:lineRule="auto"/>
        <w:ind w:left="487" w:hanging="487" w:hangingChars="202"/>
        <w:jc w:val="left"/>
        <w:outlineLvl w:val="1"/>
        <w:rPr>
          <w:rFonts w:ascii="Times New Roman" w:hAnsi="Times New Roman" w:cs="Times New Roman"/>
          <w:b/>
          <w:bCs/>
          <w:sz w:val="24"/>
          <w:szCs w:val="24"/>
        </w:rPr>
      </w:pPr>
      <w:bookmarkStart w:id="1379" w:name="_Toc25509"/>
      <w:bookmarkStart w:id="1380" w:name="_Toc8192"/>
      <w:r>
        <w:rPr>
          <w:rFonts w:ascii="Times New Roman" w:hAnsi="Times New Roman" w:cs="Times New Roman"/>
          <w:b/>
          <w:bCs/>
          <w:sz w:val="24"/>
          <w:szCs w:val="24"/>
        </w:rPr>
        <w:t>附件十一：营业执照</w:t>
      </w:r>
      <w:bookmarkEnd w:id="1379"/>
      <w:bookmarkEnd w:id="1380"/>
    </w:p>
    <w:p>
      <w:pPr>
        <w:pStyle w:val="2"/>
        <w:ind w:firstLine="480"/>
        <w:jc w:val="center"/>
        <w:rPr>
          <w:rFonts w:ascii="Times New Roman" w:hAnsi="Times New Roman" w:cs="Times New Roman"/>
          <w:b/>
          <w:bCs/>
          <w:color w:val="000000" w:themeColor="text1"/>
          <w:kern w:val="44"/>
          <w:sz w:val="24"/>
          <w:szCs w:val="24"/>
        </w:rPr>
      </w:pPr>
      <w:r>
        <w:drawing>
          <wp:inline distT="0" distB="0" distL="114300" distR="114300">
            <wp:extent cx="4117340" cy="6177280"/>
            <wp:effectExtent l="0" t="0" r="10160" b="12700"/>
            <wp:docPr id="5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6"/>
                    <pic:cNvPicPr>
                      <a:picLocks noChangeAspect="1"/>
                    </pic:cNvPicPr>
                  </pic:nvPicPr>
                  <pic:blipFill>
                    <a:blip r:embed="rId55"/>
                    <a:stretch>
                      <a:fillRect/>
                    </a:stretch>
                  </pic:blipFill>
                  <pic:spPr>
                    <a:xfrm rot="16200000">
                      <a:off x="0" y="0"/>
                      <a:ext cx="4117340" cy="6177280"/>
                    </a:xfrm>
                    <a:prstGeom prst="rect">
                      <a:avLst/>
                    </a:prstGeom>
                    <a:noFill/>
                    <a:ln>
                      <a:noFill/>
                    </a:ln>
                  </pic:spPr>
                </pic:pic>
              </a:graphicData>
            </a:graphic>
          </wp:inline>
        </w:drawing>
      </w:r>
      <w:r>
        <w:rPr>
          <w:rFonts w:ascii="Times New Roman" w:hAnsi="Times New Roman" w:cs="Times New Roman"/>
          <w:b/>
          <w:bCs/>
          <w:color w:val="000000" w:themeColor="text1"/>
          <w:kern w:val="44"/>
          <w:sz w:val="24"/>
          <w:szCs w:val="24"/>
        </w:rPr>
        <w:br w:type="page"/>
      </w:r>
    </w:p>
    <w:p>
      <w:pPr>
        <w:keepNext/>
        <w:keepLines/>
        <w:spacing w:beforeLines="150" w:line="360" w:lineRule="auto"/>
        <w:ind w:left="487" w:hanging="487" w:hangingChars="202"/>
        <w:jc w:val="left"/>
        <w:outlineLvl w:val="1"/>
        <w:rPr>
          <w:rFonts w:ascii="Times New Roman" w:hAnsi="Times New Roman" w:cs="Times New Roman"/>
          <w:b/>
          <w:bCs/>
          <w:sz w:val="24"/>
          <w:szCs w:val="24"/>
        </w:rPr>
      </w:pPr>
      <w:bookmarkStart w:id="1381" w:name="_Toc20965"/>
      <w:bookmarkStart w:id="1382" w:name="_Toc24166"/>
      <w:r>
        <w:rPr>
          <w:rFonts w:ascii="Times New Roman" w:hAnsi="Times New Roman" w:cs="Times New Roman"/>
          <w:b/>
          <w:bCs/>
          <w:sz w:val="24"/>
          <w:szCs w:val="24"/>
        </w:rPr>
        <w:t>附件十二：危险化学品经营许可证</w:t>
      </w:r>
      <w:bookmarkEnd w:id="1381"/>
      <w:bookmarkEnd w:id="1382"/>
    </w:p>
    <w:p>
      <w:pPr>
        <w:pStyle w:val="2"/>
        <w:ind w:firstLine="480"/>
        <w:jc w:val="center"/>
        <w:rPr>
          <w:rFonts w:hint="eastAsia" w:ascii="Times New Roman" w:hAnsi="Times New Roman" w:eastAsiaTheme="minorEastAsia"/>
          <w:color w:val="000000" w:themeColor="text1"/>
          <w:lang w:eastAsia="zh-CN"/>
        </w:rPr>
      </w:pPr>
      <w:r>
        <w:rPr>
          <w:rFonts w:hint="eastAsia" w:ascii="Times New Roman" w:hAnsi="Times New Roman" w:eastAsiaTheme="minorEastAsia"/>
          <w:color w:val="000000" w:themeColor="text1"/>
          <w:lang w:eastAsia="zh-CN"/>
        </w:rPr>
        <w:drawing>
          <wp:inline distT="0" distB="0" distL="114300" distR="114300">
            <wp:extent cx="5615940" cy="4373880"/>
            <wp:effectExtent l="0" t="0" r="7620" b="0"/>
            <wp:docPr id="57" name="图片 57" descr="436109426215796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436109426215796372"/>
                    <pic:cNvPicPr>
                      <a:picLocks noChangeAspect="1"/>
                    </pic:cNvPicPr>
                  </pic:nvPicPr>
                  <pic:blipFill>
                    <a:blip r:embed="rId56"/>
                    <a:stretch>
                      <a:fillRect/>
                    </a:stretch>
                  </pic:blipFill>
                  <pic:spPr>
                    <a:xfrm>
                      <a:off x="0" y="0"/>
                      <a:ext cx="5615940" cy="4373880"/>
                    </a:xfrm>
                    <a:prstGeom prst="rect">
                      <a:avLst/>
                    </a:prstGeom>
                  </pic:spPr>
                </pic:pic>
              </a:graphicData>
            </a:graphic>
          </wp:inline>
        </w:drawing>
      </w:r>
    </w:p>
    <w:p>
      <w:pPr>
        <w:rPr>
          <w:rFonts w:ascii="Times New Roman" w:hAnsi="Times New Roman" w:cs="Times New Roman"/>
          <w:color w:val="000000" w:themeColor="text1"/>
        </w:rPr>
      </w:pPr>
      <w:r>
        <w:rPr>
          <w:rFonts w:ascii="Times New Roman" w:hAnsi="Times New Roman" w:cs="Times New Roman"/>
          <w:color w:val="000000" w:themeColor="text1"/>
        </w:rPr>
        <w:br w:type="page"/>
      </w:r>
    </w:p>
    <w:p>
      <w:pPr>
        <w:keepNext/>
        <w:keepLines/>
        <w:spacing w:beforeLines="150" w:line="360" w:lineRule="auto"/>
        <w:ind w:left="487" w:hanging="487" w:hangingChars="202"/>
        <w:jc w:val="left"/>
        <w:outlineLvl w:val="1"/>
        <w:rPr>
          <w:rFonts w:ascii="Times New Roman" w:hAnsi="Times New Roman" w:cs="Times New Roman"/>
          <w:b/>
          <w:bCs/>
          <w:sz w:val="24"/>
          <w:szCs w:val="24"/>
        </w:rPr>
      </w:pPr>
      <w:bookmarkStart w:id="1383" w:name="_Toc6566"/>
      <w:bookmarkStart w:id="1384" w:name="_Toc27403"/>
      <w:r>
        <w:rPr>
          <w:rFonts w:ascii="Times New Roman" w:hAnsi="Times New Roman" w:cs="Times New Roman"/>
          <w:b/>
          <w:bCs/>
          <w:sz w:val="24"/>
          <w:szCs w:val="24"/>
        </w:rPr>
        <w:t>附件十三：成品油零售经营批准证书</w:t>
      </w:r>
      <w:bookmarkEnd w:id="1383"/>
      <w:bookmarkEnd w:id="1384"/>
    </w:p>
    <w:p>
      <w:pPr>
        <w:pStyle w:val="2"/>
        <w:ind w:firstLine="480"/>
        <w:rPr>
          <w:rFonts w:hint="eastAsia" w:ascii="Times New Roman" w:hAnsi="Times New Roman" w:eastAsiaTheme="minorEastAsia"/>
          <w:color w:val="000000" w:themeColor="text1"/>
          <w:lang w:eastAsia="zh-CN"/>
        </w:rPr>
      </w:pPr>
      <w:r>
        <w:rPr>
          <w:rFonts w:hint="eastAsia" w:ascii="Times New Roman" w:hAnsi="Times New Roman" w:eastAsiaTheme="minorEastAsia"/>
          <w:color w:val="000000" w:themeColor="text1"/>
          <w:lang w:eastAsia="zh-CN"/>
        </w:rPr>
        <w:drawing>
          <wp:inline distT="0" distB="0" distL="114300" distR="114300">
            <wp:extent cx="6182360" cy="4946015"/>
            <wp:effectExtent l="0" t="0" r="5080" b="6985"/>
            <wp:docPr id="7" name="图片 7" descr="双港大道_成品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双港大道_成品油"/>
                    <pic:cNvPicPr>
                      <a:picLocks noChangeAspect="1"/>
                    </pic:cNvPicPr>
                  </pic:nvPicPr>
                  <pic:blipFill>
                    <a:blip r:embed="rId57"/>
                    <a:stretch>
                      <a:fillRect/>
                    </a:stretch>
                  </pic:blipFill>
                  <pic:spPr>
                    <a:xfrm>
                      <a:off x="0" y="0"/>
                      <a:ext cx="6182360" cy="4946015"/>
                    </a:xfrm>
                    <a:prstGeom prst="rect">
                      <a:avLst/>
                    </a:prstGeom>
                  </pic:spPr>
                </pic:pic>
              </a:graphicData>
            </a:graphic>
          </wp:inline>
        </w:drawing>
      </w:r>
    </w:p>
    <w:p>
      <w:pPr>
        <w:pStyle w:val="2"/>
        <w:ind w:firstLine="496"/>
      </w:pPr>
      <w:r>
        <w:br w:type="page"/>
      </w:r>
    </w:p>
    <w:p>
      <w:pPr>
        <w:keepNext/>
        <w:keepLines/>
        <w:spacing w:beforeLines="150" w:line="360" w:lineRule="auto"/>
        <w:ind w:left="487" w:hanging="487" w:hangingChars="202"/>
        <w:jc w:val="left"/>
        <w:outlineLvl w:val="1"/>
        <w:rPr>
          <w:rFonts w:ascii="Times New Roman" w:hAnsi="Times New Roman" w:cs="Times New Roman"/>
          <w:b/>
          <w:bCs/>
          <w:color w:val="000000" w:themeColor="text1"/>
          <w:sz w:val="24"/>
          <w:szCs w:val="24"/>
        </w:rPr>
      </w:pPr>
      <w:bookmarkStart w:id="1385" w:name="_Toc10939"/>
      <w:r>
        <w:rPr>
          <w:rFonts w:ascii="Times New Roman" w:hAnsi="Times New Roman" w:cs="Times New Roman"/>
          <w:b/>
          <w:bCs/>
          <w:color w:val="000000" w:themeColor="text1"/>
          <w:sz w:val="24"/>
          <w:szCs w:val="24"/>
        </w:rPr>
        <w:t>附件十</w:t>
      </w:r>
      <w:r>
        <w:rPr>
          <w:rFonts w:hint="eastAsia" w:ascii="Times New Roman" w:hAnsi="Times New Roman" w:cs="Times New Roman"/>
          <w:b/>
          <w:bCs/>
          <w:color w:val="000000" w:themeColor="text1"/>
          <w:sz w:val="24"/>
          <w:szCs w:val="24"/>
        </w:rPr>
        <w:t>四</w:t>
      </w:r>
      <w:r>
        <w:rPr>
          <w:rFonts w:ascii="Times New Roman" w:hAnsi="Times New Roman" w:cs="Times New Roman"/>
          <w:b/>
          <w:bCs/>
          <w:color w:val="000000" w:themeColor="text1"/>
          <w:sz w:val="24"/>
          <w:szCs w:val="24"/>
        </w:rPr>
        <w:t>：</w:t>
      </w:r>
      <w:r>
        <w:rPr>
          <w:rFonts w:hint="eastAsia" w:ascii="Times New Roman" w:hAnsi="Times New Roman" w:cs="Times New Roman"/>
          <w:b/>
          <w:bCs/>
          <w:color w:val="000000" w:themeColor="text1"/>
          <w:sz w:val="24"/>
          <w:szCs w:val="24"/>
        </w:rPr>
        <w:t>环评批复</w:t>
      </w:r>
      <w:bookmarkEnd w:id="1385"/>
    </w:p>
    <w:p>
      <w:pPr>
        <w:pStyle w:val="2"/>
        <w:ind w:left="0" w:leftChars="0" w:firstLine="0" w:firstLineChars="0"/>
        <w:rPr>
          <w:rFonts w:hint="eastAsia" w:ascii="Times New Roman" w:hAnsi="Times New Roman" w:eastAsiaTheme="minorEastAsia"/>
          <w:color w:val="000000" w:themeColor="text1"/>
          <w:lang w:eastAsia="zh-CN"/>
        </w:rPr>
      </w:pPr>
      <w:r>
        <w:rPr>
          <w:rFonts w:hint="eastAsia" w:ascii="Times New Roman" w:hAnsi="Times New Roman" w:eastAsiaTheme="minorEastAsia"/>
          <w:color w:val="000000" w:themeColor="text1"/>
          <w:lang w:eastAsia="zh-CN"/>
        </w:rPr>
        <w:drawing>
          <wp:inline distT="0" distB="0" distL="114300" distR="114300">
            <wp:extent cx="5457190" cy="8436610"/>
            <wp:effectExtent l="0" t="0" r="13970" b="6350"/>
            <wp:docPr id="8" name="图片 8" descr="关于对部分环保违法违规项目进行完善备案的公示（第五批）-南昌国家经济技术开发区_20170907125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关于对部分环保违法违规项目进行完善备案的公示（第五批）-南昌国家经济技术开发区_20170907125012"/>
                    <pic:cNvPicPr>
                      <a:picLocks noChangeAspect="1"/>
                    </pic:cNvPicPr>
                  </pic:nvPicPr>
                  <pic:blipFill>
                    <a:blip r:embed="rId58"/>
                    <a:stretch>
                      <a:fillRect/>
                    </a:stretch>
                  </pic:blipFill>
                  <pic:spPr>
                    <a:xfrm>
                      <a:off x="0" y="0"/>
                      <a:ext cx="5457190" cy="8436610"/>
                    </a:xfrm>
                    <a:prstGeom prst="rect">
                      <a:avLst/>
                    </a:prstGeom>
                  </pic:spPr>
                </pic:pic>
              </a:graphicData>
            </a:graphic>
          </wp:inline>
        </w:drawing>
      </w:r>
    </w:p>
    <w:p>
      <w:pPr>
        <w:rPr>
          <w:rFonts w:hint="eastAsia" w:ascii="Times New Roman" w:hAnsi="Times New Roman" w:eastAsiaTheme="minorEastAsia"/>
          <w:color w:val="000000" w:themeColor="text1"/>
          <w:lang w:eastAsia="zh-CN"/>
        </w:rPr>
      </w:pPr>
      <w:r>
        <w:rPr>
          <w:rFonts w:hint="eastAsia" w:ascii="Times New Roman" w:hAnsi="Times New Roman" w:eastAsiaTheme="minorEastAsia"/>
          <w:color w:val="000000" w:themeColor="text1"/>
          <w:lang w:eastAsia="zh-CN"/>
        </w:rPr>
        <w:br w:type="page"/>
      </w:r>
    </w:p>
    <w:p>
      <w:pPr>
        <w:keepNext/>
        <w:keepLines/>
        <w:spacing w:beforeLines="150" w:line="360" w:lineRule="auto"/>
        <w:ind w:left="487" w:hanging="487" w:hangingChars="202"/>
        <w:jc w:val="left"/>
        <w:outlineLvl w:val="1"/>
        <w:rPr>
          <w:rFonts w:ascii="Times New Roman" w:hAnsi="Times New Roman" w:cs="Times New Roman"/>
          <w:b/>
          <w:bCs/>
          <w:color w:val="000000" w:themeColor="text1"/>
          <w:sz w:val="24"/>
          <w:szCs w:val="24"/>
        </w:rPr>
      </w:pPr>
      <w:bookmarkStart w:id="1386" w:name="_Toc6409"/>
      <w:bookmarkStart w:id="1387" w:name="_Toc31856"/>
      <w:r>
        <w:rPr>
          <w:rFonts w:ascii="Times New Roman" w:hAnsi="Times New Roman" w:cs="Times New Roman"/>
          <w:b/>
          <w:bCs/>
          <w:color w:val="000000" w:themeColor="text1"/>
          <w:sz w:val="24"/>
          <w:szCs w:val="24"/>
        </w:rPr>
        <w:t>附件十</w:t>
      </w:r>
      <w:r>
        <w:rPr>
          <w:rFonts w:hint="eastAsia" w:ascii="Times New Roman" w:hAnsi="Times New Roman" w:cs="Times New Roman"/>
          <w:b/>
          <w:bCs/>
          <w:color w:val="000000" w:themeColor="text1"/>
          <w:sz w:val="24"/>
          <w:szCs w:val="24"/>
          <w:lang w:val="en-US" w:eastAsia="zh-CN"/>
        </w:rPr>
        <w:t>五</w:t>
      </w:r>
      <w:r>
        <w:rPr>
          <w:rFonts w:ascii="Times New Roman" w:hAnsi="Times New Roman" w:cs="Times New Roman"/>
          <w:b/>
          <w:bCs/>
          <w:color w:val="000000" w:themeColor="text1"/>
          <w:sz w:val="24"/>
          <w:szCs w:val="24"/>
        </w:rPr>
        <w:t>：</w:t>
      </w:r>
      <w:r>
        <w:rPr>
          <w:rFonts w:hint="eastAsia" w:ascii="Times New Roman" w:hAnsi="Times New Roman" w:cs="Times New Roman"/>
          <w:b/>
          <w:bCs/>
          <w:color w:val="000000" w:themeColor="text1"/>
          <w:sz w:val="24"/>
          <w:szCs w:val="24"/>
        </w:rPr>
        <w:t>危险废物处置单位处置资质</w:t>
      </w:r>
      <w:bookmarkEnd w:id="1386"/>
      <w:bookmarkEnd w:id="1387"/>
    </w:p>
    <w:p>
      <w:pPr>
        <w:rPr>
          <w:rFonts w:hint="eastAsia"/>
        </w:rPr>
      </w:pPr>
      <w:r>
        <w:rPr>
          <w:rFonts w:hint="eastAsia"/>
        </w:rPr>
        <w:drawing>
          <wp:inline distT="0" distB="0" distL="114300" distR="114300">
            <wp:extent cx="5269230" cy="7489825"/>
            <wp:effectExtent l="0" t="0" r="3810" b="8255"/>
            <wp:docPr id="1" name="图片 2" descr="QQ图片20180829144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QQ图片20180829144646"/>
                    <pic:cNvPicPr>
                      <a:picLocks noChangeAspect="1"/>
                    </pic:cNvPicPr>
                  </pic:nvPicPr>
                  <pic:blipFill>
                    <a:blip r:embed="rId59"/>
                    <a:stretch>
                      <a:fillRect/>
                    </a:stretch>
                  </pic:blipFill>
                  <pic:spPr>
                    <a:xfrm>
                      <a:off x="0" y="0"/>
                      <a:ext cx="5269230" cy="7489825"/>
                    </a:xfrm>
                    <a:prstGeom prst="rect">
                      <a:avLst/>
                    </a:prstGeom>
                    <a:noFill/>
                    <a:ln>
                      <a:noFill/>
                    </a:ln>
                  </pic:spPr>
                </pic:pic>
              </a:graphicData>
            </a:graphic>
          </wp:inline>
        </w:drawing>
      </w:r>
    </w:p>
    <w:p>
      <w:pPr>
        <w:rPr>
          <w:rFonts w:hint="eastAsia"/>
        </w:rPr>
      </w:pPr>
      <w:r>
        <w:rPr>
          <w:rFonts w:hint="eastAsia"/>
        </w:rPr>
        <w:drawing>
          <wp:inline distT="0" distB="0" distL="114300" distR="114300">
            <wp:extent cx="5258435" cy="7795260"/>
            <wp:effectExtent l="0" t="0" r="14605" b="7620"/>
            <wp:docPr id="9" name="图片 3" descr="QQ图片20180829144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descr="QQ图片20180829144655"/>
                    <pic:cNvPicPr>
                      <a:picLocks noChangeAspect="1"/>
                    </pic:cNvPicPr>
                  </pic:nvPicPr>
                  <pic:blipFill>
                    <a:blip r:embed="rId60"/>
                    <a:stretch>
                      <a:fillRect/>
                    </a:stretch>
                  </pic:blipFill>
                  <pic:spPr>
                    <a:xfrm>
                      <a:off x="0" y="0"/>
                      <a:ext cx="5258435" cy="7795260"/>
                    </a:xfrm>
                    <a:prstGeom prst="rect">
                      <a:avLst/>
                    </a:prstGeom>
                    <a:noFill/>
                    <a:ln>
                      <a:noFill/>
                    </a:ln>
                  </pic:spPr>
                </pic:pic>
              </a:graphicData>
            </a:graphic>
          </wp:inline>
        </w:drawing>
      </w:r>
    </w:p>
    <w:p>
      <w:pPr>
        <w:rPr>
          <w:rFonts w:hint="eastAsia"/>
        </w:rPr>
      </w:pPr>
      <w:r>
        <w:drawing>
          <wp:inline distT="0" distB="0" distL="114300" distR="114300">
            <wp:extent cx="5379085" cy="8965565"/>
            <wp:effectExtent l="0" t="0" r="635" b="10795"/>
            <wp:docPr id="10" name="图片 4" descr="QQ图片201808291446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QQ图片201808291446520"/>
                    <pic:cNvPicPr>
                      <a:picLocks noChangeAspect="1"/>
                    </pic:cNvPicPr>
                  </pic:nvPicPr>
                  <pic:blipFill>
                    <a:blip r:embed="rId61"/>
                    <a:stretch>
                      <a:fillRect/>
                    </a:stretch>
                  </pic:blipFill>
                  <pic:spPr>
                    <a:xfrm>
                      <a:off x="0" y="0"/>
                      <a:ext cx="5379085" cy="8965565"/>
                    </a:xfrm>
                    <a:prstGeom prst="rect">
                      <a:avLst/>
                    </a:prstGeom>
                    <a:noFill/>
                    <a:ln>
                      <a:noFill/>
                    </a:ln>
                  </pic:spPr>
                </pic:pic>
              </a:graphicData>
            </a:graphic>
          </wp:inline>
        </w:drawing>
      </w:r>
    </w:p>
    <w:p>
      <w:pPr>
        <w:rPr>
          <w:rFonts w:hint="eastAsia"/>
        </w:rPr>
      </w:pPr>
      <w:r>
        <w:rPr>
          <w:rFonts w:hint="eastAsia"/>
        </w:rPr>
        <w:drawing>
          <wp:inline distT="0" distB="0" distL="114300" distR="114300">
            <wp:extent cx="5253355" cy="7292975"/>
            <wp:effectExtent l="0" t="0" r="4445" b="6985"/>
            <wp:docPr id="11" name="图片 5" descr="QQ图片20180829144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descr="QQ图片20180829144638"/>
                    <pic:cNvPicPr>
                      <a:picLocks noChangeAspect="1"/>
                    </pic:cNvPicPr>
                  </pic:nvPicPr>
                  <pic:blipFill>
                    <a:blip r:embed="rId62"/>
                    <a:stretch>
                      <a:fillRect/>
                    </a:stretch>
                  </pic:blipFill>
                  <pic:spPr>
                    <a:xfrm>
                      <a:off x="0" y="0"/>
                      <a:ext cx="5253355" cy="7292975"/>
                    </a:xfrm>
                    <a:prstGeom prst="rect">
                      <a:avLst/>
                    </a:prstGeom>
                    <a:noFill/>
                    <a:ln>
                      <a:noFill/>
                    </a:ln>
                  </pic:spPr>
                </pic:pic>
              </a:graphicData>
            </a:graphic>
          </wp:inline>
        </w:drawing>
      </w:r>
    </w:p>
    <w:p>
      <w:pPr>
        <w:rPr>
          <w:rFonts w:hint="eastAsia"/>
        </w:rPr>
      </w:pPr>
      <w:r>
        <w:rPr>
          <w:rFonts w:hint="eastAsia"/>
        </w:rPr>
        <w:drawing>
          <wp:inline distT="0" distB="0" distL="114300" distR="114300">
            <wp:extent cx="5257800" cy="7507605"/>
            <wp:effectExtent l="0" t="0" r="0" b="5715"/>
            <wp:docPr id="12" name="图片 6" descr="QQ图片20180829144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descr="QQ图片20180829144634"/>
                    <pic:cNvPicPr>
                      <a:picLocks noChangeAspect="1"/>
                    </pic:cNvPicPr>
                  </pic:nvPicPr>
                  <pic:blipFill>
                    <a:blip r:embed="rId63"/>
                    <a:stretch>
                      <a:fillRect/>
                    </a:stretch>
                  </pic:blipFill>
                  <pic:spPr>
                    <a:xfrm>
                      <a:off x="0" y="0"/>
                      <a:ext cx="5257800" cy="7507605"/>
                    </a:xfrm>
                    <a:prstGeom prst="rect">
                      <a:avLst/>
                    </a:prstGeom>
                    <a:noFill/>
                    <a:ln>
                      <a:noFill/>
                    </a:ln>
                  </pic:spPr>
                </pic:pic>
              </a:graphicData>
            </a:graphic>
          </wp:inline>
        </w:drawing>
      </w:r>
    </w:p>
    <w:p>
      <w:pPr>
        <w:rPr>
          <w:rFonts w:hint="eastAsia" w:eastAsia="宋体"/>
          <w:lang w:eastAsia="zh-CN"/>
        </w:rPr>
      </w:pPr>
      <w:r>
        <w:rPr>
          <w:rFonts w:hint="eastAsia"/>
        </w:rPr>
        <w:drawing>
          <wp:inline distT="0" distB="0" distL="114300" distR="114300">
            <wp:extent cx="5264150" cy="7513320"/>
            <wp:effectExtent l="0" t="0" r="8890" b="0"/>
            <wp:docPr id="13" name="图片 13" descr="QQ图片20180829144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QQ图片20180829144642"/>
                    <pic:cNvPicPr>
                      <a:picLocks noChangeAspect="1"/>
                    </pic:cNvPicPr>
                  </pic:nvPicPr>
                  <pic:blipFill>
                    <a:blip r:embed="rId64"/>
                    <a:stretch>
                      <a:fillRect/>
                    </a:stretch>
                  </pic:blipFill>
                  <pic:spPr>
                    <a:xfrm>
                      <a:off x="0" y="0"/>
                      <a:ext cx="5264150" cy="7513320"/>
                    </a:xfrm>
                    <a:prstGeom prst="rect">
                      <a:avLst/>
                    </a:prstGeom>
                    <a:noFill/>
                    <a:ln>
                      <a:noFill/>
                    </a:ln>
                  </pic:spPr>
                </pic:pic>
              </a:graphicData>
            </a:graphic>
          </wp:inline>
        </w:drawing>
      </w:r>
    </w:p>
    <w:p>
      <w:pPr>
        <w:rPr>
          <w:rFonts w:hint="eastAsia" w:eastAsia="宋体"/>
          <w:lang w:eastAsia="zh-CN"/>
        </w:rPr>
      </w:pPr>
      <w:r>
        <w:rPr>
          <w:rFonts w:hint="eastAsia" w:eastAsia="宋体"/>
          <w:lang w:eastAsia="zh-CN"/>
        </w:rPr>
        <w:drawing>
          <wp:inline distT="0" distB="0" distL="114300" distR="114300">
            <wp:extent cx="5260975" cy="7761605"/>
            <wp:effectExtent l="0" t="0" r="12065" b="10795"/>
            <wp:docPr id="14" name="图片 8" descr="QQ图片20180829144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descr="QQ图片20180829144649"/>
                    <pic:cNvPicPr>
                      <a:picLocks noChangeAspect="1"/>
                    </pic:cNvPicPr>
                  </pic:nvPicPr>
                  <pic:blipFill>
                    <a:blip r:embed="rId65"/>
                    <a:stretch>
                      <a:fillRect/>
                    </a:stretch>
                  </pic:blipFill>
                  <pic:spPr>
                    <a:xfrm>
                      <a:off x="0" y="0"/>
                      <a:ext cx="5260975" cy="7761605"/>
                    </a:xfrm>
                    <a:prstGeom prst="rect">
                      <a:avLst/>
                    </a:prstGeom>
                    <a:noFill/>
                    <a:ln>
                      <a:noFill/>
                    </a:ln>
                  </pic:spPr>
                </pic:pic>
              </a:graphicData>
            </a:graphic>
          </wp:inline>
        </w:drawing>
      </w:r>
    </w:p>
    <w:p>
      <w:pPr>
        <w:rPr>
          <w:rFonts w:hint="eastAsia" w:eastAsia="宋体"/>
          <w:lang w:eastAsia="zh-CN"/>
        </w:rPr>
      </w:pPr>
      <w:r>
        <w:rPr>
          <w:rFonts w:hint="eastAsia" w:eastAsia="宋体"/>
          <w:lang w:eastAsia="zh-CN"/>
        </w:rPr>
        <w:drawing>
          <wp:inline distT="0" distB="0" distL="114300" distR="114300">
            <wp:extent cx="5266690" cy="3825875"/>
            <wp:effectExtent l="0" t="0" r="6350" b="14605"/>
            <wp:docPr id="15" name="图片 9" descr="QQ图片20180829144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descr="QQ图片20180829144619"/>
                    <pic:cNvPicPr>
                      <a:picLocks noChangeAspect="1"/>
                    </pic:cNvPicPr>
                  </pic:nvPicPr>
                  <pic:blipFill>
                    <a:blip r:embed="rId66"/>
                    <a:stretch>
                      <a:fillRect/>
                    </a:stretch>
                  </pic:blipFill>
                  <pic:spPr>
                    <a:xfrm>
                      <a:off x="0" y="0"/>
                      <a:ext cx="5266690" cy="3825875"/>
                    </a:xfrm>
                    <a:prstGeom prst="rect">
                      <a:avLst/>
                    </a:prstGeom>
                    <a:noFill/>
                    <a:ln>
                      <a:noFill/>
                    </a:ln>
                  </pic:spPr>
                </pic:pic>
              </a:graphicData>
            </a:graphic>
          </wp:inline>
        </w:drawing>
      </w:r>
    </w:p>
    <w:p>
      <w:pPr>
        <w:rPr>
          <w:rFonts w:hint="eastAsia"/>
        </w:rPr>
      </w:pPr>
      <w:r>
        <w:drawing>
          <wp:inline distT="0" distB="0" distL="0" distR="0">
            <wp:extent cx="5274310" cy="7251700"/>
            <wp:effectExtent l="0" t="0" r="13970" b="2540"/>
            <wp:docPr id="18" name="图片 18" descr="C:\Users\jxdz\Desktop\2017.12清罐合同\河南省防腐\资质\黑白营业执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jxdz\Desktop\2017.12清罐合同\河南省防腐\资质\黑白营业执照.jpg"/>
                    <pic:cNvPicPr>
                      <a:picLocks noChangeAspect="1" noChangeArrowheads="1"/>
                    </pic:cNvPicPr>
                  </pic:nvPicPr>
                  <pic:blipFill>
                    <a:blip r:embed="rId67" cstate="print"/>
                    <a:srcRect/>
                    <a:stretch>
                      <a:fillRect/>
                    </a:stretch>
                  </pic:blipFill>
                  <pic:spPr>
                    <a:xfrm>
                      <a:off x="0" y="0"/>
                      <a:ext cx="5274310" cy="7252176"/>
                    </a:xfrm>
                    <a:prstGeom prst="rect">
                      <a:avLst/>
                    </a:prstGeom>
                    <a:noFill/>
                    <a:ln w="9525">
                      <a:noFill/>
                      <a:miter lim="800000"/>
                      <a:headEnd/>
                      <a:tailEnd/>
                    </a:ln>
                  </pic:spPr>
                </pic:pic>
              </a:graphicData>
            </a:graphic>
          </wp:inline>
        </w:drawing>
      </w:r>
    </w:p>
    <w:p>
      <w:pPr>
        <w:rPr>
          <w:rFonts w:hint="eastAsia"/>
        </w:rPr>
      </w:pPr>
      <w:r>
        <w:drawing>
          <wp:inline distT="0" distB="0" distL="0" distR="0">
            <wp:extent cx="5274310" cy="7198360"/>
            <wp:effectExtent l="0" t="0" r="13970" b="10160"/>
            <wp:docPr id="20" name="图片 20" descr="C:\Users\jxdz\Desktop\2017.12清罐合同\河南省防腐\资质\安全生产许可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jxdz\Desktop\2017.12清罐合同\河南省防腐\资质\安全生产许可证.jpg"/>
                    <pic:cNvPicPr>
                      <a:picLocks noChangeAspect="1" noChangeArrowheads="1"/>
                    </pic:cNvPicPr>
                  </pic:nvPicPr>
                  <pic:blipFill>
                    <a:blip r:embed="rId68" cstate="print"/>
                    <a:srcRect/>
                    <a:stretch>
                      <a:fillRect/>
                    </a:stretch>
                  </pic:blipFill>
                  <pic:spPr>
                    <a:xfrm>
                      <a:off x="0" y="0"/>
                      <a:ext cx="5274310" cy="7198900"/>
                    </a:xfrm>
                    <a:prstGeom prst="rect">
                      <a:avLst/>
                    </a:prstGeom>
                    <a:noFill/>
                    <a:ln w="9525">
                      <a:noFill/>
                      <a:miter lim="800000"/>
                      <a:headEnd/>
                      <a:tailEnd/>
                    </a:ln>
                  </pic:spPr>
                </pic:pic>
              </a:graphicData>
            </a:graphic>
          </wp:inline>
        </w:drawing>
      </w:r>
    </w:p>
    <w:p>
      <w:pPr>
        <w:rPr>
          <w:rFonts w:hint="eastAsia"/>
        </w:rPr>
      </w:pPr>
      <w:r>
        <w:drawing>
          <wp:inline distT="0" distB="0" distL="0" distR="0">
            <wp:extent cx="5274310" cy="7360285"/>
            <wp:effectExtent l="0" t="0" r="13970" b="635"/>
            <wp:docPr id="21" name="图片 21" descr="C:\Users\jxdz\Desktop\2017.12清罐合同\河南省防腐\资质\资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Users\jxdz\Desktop\2017.12清罐合同\河南省防腐\资质\资质.jpg"/>
                    <pic:cNvPicPr>
                      <a:picLocks noChangeAspect="1" noChangeArrowheads="1"/>
                    </pic:cNvPicPr>
                  </pic:nvPicPr>
                  <pic:blipFill>
                    <a:blip r:embed="rId69" cstate="print"/>
                    <a:srcRect/>
                    <a:stretch>
                      <a:fillRect/>
                    </a:stretch>
                  </pic:blipFill>
                  <pic:spPr>
                    <a:xfrm>
                      <a:off x="0" y="0"/>
                      <a:ext cx="5274310" cy="7360418"/>
                    </a:xfrm>
                    <a:prstGeom prst="rect">
                      <a:avLst/>
                    </a:prstGeom>
                    <a:noFill/>
                    <a:ln w="9525">
                      <a:noFill/>
                      <a:miter lim="800000"/>
                      <a:headEnd/>
                      <a:tailEnd/>
                    </a:ln>
                  </pic:spPr>
                </pic:pic>
              </a:graphicData>
            </a:graphic>
          </wp:inline>
        </w:drawing>
      </w:r>
    </w:p>
    <w:p>
      <w:r>
        <w:drawing>
          <wp:inline distT="0" distB="0" distL="0" distR="0">
            <wp:extent cx="5274310" cy="7235190"/>
            <wp:effectExtent l="0" t="0" r="13970" b="3810"/>
            <wp:docPr id="33" name="图片 33" descr="C:\Users\jxdz\Desktop\2017.12清罐合同\河南省防腐\资质\资质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C:\Users\jxdz\Desktop\2017.12清罐合同\河南省防腐\资质\资质2.jpg"/>
                    <pic:cNvPicPr>
                      <a:picLocks noChangeAspect="1" noChangeArrowheads="1"/>
                    </pic:cNvPicPr>
                  </pic:nvPicPr>
                  <pic:blipFill>
                    <a:blip r:embed="rId70" cstate="print"/>
                    <a:srcRect/>
                    <a:stretch>
                      <a:fillRect/>
                    </a:stretch>
                  </pic:blipFill>
                  <pic:spPr>
                    <a:xfrm>
                      <a:off x="0" y="0"/>
                      <a:ext cx="5274310" cy="7235776"/>
                    </a:xfrm>
                    <a:prstGeom prst="rect">
                      <a:avLst/>
                    </a:prstGeom>
                    <a:noFill/>
                    <a:ln w="9525">
                      <a:noFill/>
                      <a:miter lim="800000"/>
                      <a:headEnd/>
                      <a:tailEnd/>
                    </a:ln>
                  </pic:spPr>
                </pic:pic>
              </a:graphicData>
            </a:graphic>
          </wp:inline>
        </w:drawing>
      </w:r>
    </w:p>
    <w:p>
      <w:pPr>
        <w:rPr>
          <w:rFonts w:hint="eastAsia"/>
          <w:lang w:eastAsia="zh-CN"/>
        </w:rPr>
      </w:pPr>
      <w:r>
        <w:rPr>
          <w:rFonts w:hint="eastAsia"/>
          <w:lang w:eastAsia="zh-CN"/>
        </w:rPr>
        <w:drawing>
          <wp:inline distT="0" distB="0" distL="114300" distR="114300">
            <wp:extent cx="6171565" cy="4639945"/>
            <wp:effectExtent l="0" t="0" r="635" b="8255"/>
            <wp:docPr id="22" name="图片 22" descr="危险废物运输处置合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危险废物运输处置合同"/>
                    <pic:cNvPicPr>
                      <a:picLocks noChangeAspect="1"/>
                    </pic:cNvPicPr>
                  </pic:nvPicPr>
                  <pic:blipFill>
                    <a:blip r:embed="rId71"/>
                    <a:stretch>
                      <a:fillRect/>
                    </a:stretch>
                  </pic:blipFill>
                  <pic:spPr>
                    <a:xfrm>
                      <a:off x="0" y="0"/>
                      <a:ext cx="6171565" cy="4639945"/>
                    </a:xfrm>
                    <a:prstGeom prst="rect">
                      <a:avLst/>
                    </a:prstGeom>
                  </pic:spPr>
                </pic:pic>
              </a:graphicData>
            </a:graphic>
          </wp:inline>
        </w:drawing>
      </w:r>
    </w:p>
    <w:sectPr>
      <w:type w:val="continuous"/>
      <w:pgSz w:w="11906" w:h="16838"/>
      <w:pgMar w:top="1440" w:right="1080" w:bottom="1440" w:left="1080" w:header="851" w:footer="992" w:gutter="0"/>
      <w:pgBorders>
        <w:top w:val="none" w:sz="0" w:space="0"/>
        <w:left w:val="none" w:sz="0" w:space="0"/>
        <w:bottom w:val="none" w:sz="0" w:space="0"/>
        <w:right w:val="none" w:sz="0" w:space="0"/>
      </w:pgBorders>
      <w:pgNumType w:fmt="upperRoman"/>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Verdana">
    <w:panose1 w:val="020B0604030504040204"/>
    <w:charset w:val="00"/>
    <w:family w:val="swiss"/>
    <w:pitch w:val="default"/>
    <w:sig w:usb0="A00006FF" w:usb1="4000205B" w:usb2="00000010"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35385100"/>
    </w:sdtPr>
    <w:sdtContent>
      <w:p>
        <w:pPr>
          <w:pStyle w:val="9"/>
          <w:jc w:val="center"/>
        </w:pPr>
        <w:r>
          <w:fldChar w:fldCharType="begin"/>
        </w:r>
        <w:r>
          <w:instrText xml:space="preserve">PAGE   \* MERGEFORMAT</w:instrText>
        </w:r>
        <w:r>
          <w:fldChar w:fldCharType="separate"/>
        </w:r>
        <w:r>
          <w:rPr>
            <w:lang w:val="zh-CN"/>
          </w:rPr>
          <w:t>70</w:t>
        </w:r>
        <w:r>
          <w:fldChar w:fldCharType="end"/>
        </w:r>
      </w:p>
    </w:sdtContent>
  </w:sdt>
  <w:p>
    <w:pPr>
      <w:pStyle w:val="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pict>
        <v:shape id="_x0000_s3073" o:spid="_x0000_s3073" o:spt="202" type="#_x0000_t202" style="position:absolute;left:0pt;margin-top:0pt;height:144pt;width:144pt;mso-position-horizontal:center;mso-position-horizontal-relative:margin;mso-wrap-style:none;z-index:25165721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NJWO7QAAAABQEAAA8AAAAAAAAAAQAgAAAAIgAA&#10;AGRycy9kb3ducmV2LnhtbFBLAQIUABQAAAAIAIdO4kDd0n8CEAIAAAkEAAAOAAAAAAAAAAEAIAAA&#10;AB8BAABkcnMvZTJvRG9jLnhtbFBLBQYAAAAABgAGAFkBAAChBQAAAAA=&#10;">
          <v:path/>
          <v:fill on="f" focussize="0,0"/>
          <v:stroke on="f" weight="0.5pt" joinstyle="miter"/>
          <v:imagedata o:title=""/>
          <o:lock v:ext="edit"/>
          <v:textbox inset="0mm,0mm,0mm,0mm" style="mso-fit-shape-to-text:t;">
            <w:txbxContent>
              <w:p>
                <w:pPr>
                  <w:pStyle w:val="9"/>
                </w:pPr>
                <w:r>
                  <w:rPr>
                    <w:rFonts w:hint="eastAsia"/>
                  </w:rPr>
                  <w:fldChar w:fldCharType="begin"/>
                </w:r>
                <w:r>
                  <w:rPr>
                    <w:rFonts w:hint="eastAsia"/>
                  </w:rPr>
                  <w:instrText xml:space="preserve"> PAGE  \* MERGEFORMAT </w:instrText>
                </w:r>
                <w:r>
                  <w:rPr>
                    <w:rFonts w:hint="eastAsia"/>
                  </w:rPr>
                  <w:fldChar w:fldCharType="separate"/>
                </w:r>
                <w:r>
                  <w:t>71</w:t>
                </w:r>
                <w:r>
                  <w:rPr>
                    <w:rFonts w:hint="eastAsia"/>
                  </w:rPr>
                  <w:fldChar w:fldCharType="end"/>
                </w:r>
              </w:p>
            </w:txbxContent>
          </v:textbox>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pict>
        <v:shape id="_x0000_s3074" o:spid="_x0000_s3074"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NJWO7QAAAABQEAAA8AAAAAAAAAAQAgAAAAIgAA&#10;AGRycy9kb3ducmV2LnhtbFBLAQIUABQAAAAIAIdO4kAlBIrCEAIAAAkEAAAOAAAAAAAAAAEAIAAA&#10;AB8BAABkcnMvZTJvRG9jLnhtbFBLBQYAAAAABgAGAFkBAAChBQAAAAA=&#10;">
          <v:path/>
          <v:fill on="f" focussize="0,0"/>
          <v:stroke on="f" weight="0.5pt" joinstyle="miter"/>
          <v:imagedata o:title=""/>
          <o:lock v:ext="edit"/>
          <v:textbox inset="0mm,0mm,0mm,0mm" style="mso-fit-shape-to-text:t;">
            <w:txbxContent>
              <w:p>
                <w:pPr>
                  <w:pStyle w:val="9"/>
                </w:pPr>
                <w:r>
                  <w:rPr>
                    <w:rFonts w:hint="eastAsia"/>
                  </w:rPr>
                  <w:fldChar w:fldCharType="begin"/>
                </w:r>
                <w:r>
                  <w:rPr>
                    <w:rFonts w:hint="eastAsia"/>
                  </w:rPr>
                  <w:instrText xml:space="preserve"> PAGE  \* MERGEFORMAT </w:instrText>
                </w:r>
                <w:r>
                  <w:rPr>
                    <w:rFonts w:hint="eastAsia"/>
                  </w:rPr>
                  <w:fldChar w:fldCharType="separate"/>
                </w:r>
                <w:r>
                  <w:t>XXIV</w:t>
                </w:r>
                <w:r>
                  <w:rPr>
                    <w:rFonts w:hint="eastAsia"/>
                  </w:rPr>
                  <w:fldChar w:fldCharType="end"/>
                </w:r>
              </w:p>
            </w:txbxContent>
          </v:textbox>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jc w:val="center"/>
    </w:pPr>
    <w:r>
      <w:rPr>
        <w:rFonts w:hint="eastAsia" w:ascii="仿宋" w:hAnsi="仿宋" w:eastAsia="仿宋" w:cs="仿宋"/>
        <w:bCs/>
        <w:szCs w:val="21"/>
      </w:rPr>
      <w:t>中国</w:t>
    </w:r>
    <w:r>
      <w:rPr>
        <w:rFonts w:hint="eastAsia" w:ascii="仿宋" w:hAnsi="仿宋" w:eastAsia="仿宋" w:cs="仿宋"/>
        <w:bCs/>
        <w:szCs w:val="21"/>
        <w:lang w:val="en-US" w:eastAsia="zh-CN"/>
      </w:rPr>
      <w:t>石油天然气</w:t>
    </w:r>
    <w:r>
      <w:rPr>
        <w:rFonts w:hint="eastAsia" w:ascii="仿宋" w:hAnsi="仿宋" w:eastAsia="仿宋" w:cs="仿宋"/>
        <w:bCs/>
        <w:szCs w:val="21"/>
      </w:rPr>
      <w:t>股份有限公司江西南昌</w:t>
    </w:r>
    <w:r>
      <w:rPr>
        <w:rFonts w:hint="eastAsia" w:ascii="仿宋" w:hAnsi="仿宋" w:eastAsia="仿宋" w:cs="仿宋"/>
        <w:bCs/>
        <w:szCs w:val="21"/>
        <w:lang w:val="en-US" w:eastAsia="zh-CN"/>
      </w:rPr>
      <w:t>双港大道</w:t>
    </w:r>
    <w:r>
      <w:rPr>
        <w:rFonts w:hint="eastAsia" w:ascii="仿宋" w:hAnsi="仿宋" w:eastAsia="仿宋" w:cs="仿宋"/>
        <w:bCs/>
        <w:szCs w:val="21"/>
      </w:rPr>
      <w:t>加油站突发环境事件应急预案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C529A"/>
    <w:multiLevelType w:val="multilevel"/>
    <w:tmpl w:val="007C529A"/>
    <w:lvl w:ilvl="0" w:tentative="0">
      <w:start w:val="1"/>
      <w:numFmt w:val="decimal"/>
      <w:lvlText w:val="%1、"/>
      <w:lvlJc w:val="left"/>
      <w:pPr>
        <w:tabs>
          <w:tab w:val="left" w:pos="567"/>
        </w:tabs>
        <w:ind w:left="567" w:hanging="567"/>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
    <w:nsid w:val="1A91FC95"/>
    <w:multiLevelType w:val="singleLevel"/>
    <w:tmpl w:val="1A91FC95"/>
    <w:lvl w:ilvl="0" w:tentative="0">
      <w:start w:val="2"/>
      <w:numFmt w:val="decimal"/>
      <w:suff w:val="nothing"/>
      <w:lvlText w:val="（%1）"/>
      <w:lvlJc w:val="left"/>
    </w:lvl>
  </w:abstractNum>
  <w:abstractNum w:abstractNumId="2">
    <w:nsid w:val="1B357E7E"/>
    <w:multiLevelType w:val="multilevel"/>
    <w:tmpl w:val="1B357E7E"/>
    <w:lvl w:ilvl="0" w:tentative="0">
      <w:start w:val="1"/>
      <w:numFmt w:val="decimal"/>
      <w:lvlText w:val="%1、"/>
      <w:lvlJc w:val="left"/>
      <w:pPr>
        <w:tabs>
          <w:tab w:val="left" w:pos="567"/>
        </w:tabs>
        <w:ind w:left="567" w:hanging="567"/>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
    <w:nsid w:val="54C432F8"/>
    <w:multiLevelType w:val="multilevel"/>
    <w:tmpl w:val="54C432F8"/>
    <w:lvl w:ilvl="0" w:tentative="0">
      <w:start w:val="1"/>
      <w:numFmt w:val="decimal"/>
      <w:lvlText w:val="（%1）"/>
      <w:lvlJc w:val="left"/>
      <w:pPr>
        <w:ind w:left="1140" w:hanging="7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4">
    <w:nsid w:val="77CE7A53"/>
    <w:multiLevelType w:val="multilevel"/>
    <w:tmpl w:val="77CE7A53"/>
    <w:lvl w:ilvl="0" w:tentative="0">
      <w:start w:val="1"/>
      <w:numFmt w:val="decimal"/>
      <w:pStyle w:val="28"/>
      <w:lvlText w:val="%1."/>
      <w:lvlJc w:val="left"/>
      <w:pPr>
        <w:ind w:left="425" w:hanging="425"/>
      </w:pPr>
      <w:rPr>
        <w:rFonts w:hint="default" w:ascii="Times New Roman" w:hAnsi="Times New Roman" w:eastAsia="宋体"/>
        <w:u w:val="none"/>
      </w:rPr>
    </w:lvl>
    <w:lvl w:ilvl="1" w:tentative="0">
      <w:start w:val="0"/>
      <w:numFmt w:val="none"/>
      <w:lvlText w:val=""/>
      <w:lvlJc w:val="left"/>
      <w:pPr>
        <w:tabs>
          <w:tab w:val="left" w:pos="360"/>
        </w:tabs>
      </w:pPr>
      <w:rPr>
        <w:rFonts w:hint="default" w:ascii="Times New Roman" w:hAnsi="Times New Roman" w:eastAsia="宋体"/>
        <w:u w:val="none"/>
      </w:rPr>
    </w:lvl>
    <w:lvl w:ilvl="2" w:tentative="0">
      <w:start w:val="0"/>
      <w:numFmt w:val="none"/>
      <w:lvlText w:val=""/>
      <w:lvlJc w:val="left"/>
      <w:pPr>
        <w:tabs>
          <w:tab w:val="left" w:pos="360"/>
        </w:tabs>
      </w:pPr>
      <w:rPr>
        <w:rFonts w:hint="default" w:ascii="Times New Roman" w:hAnsi="Times New Roman" w:eastAsia="宋体"/>
        <w:u w:val="none"/>
      </w:rPr>
    </w:lvl>
    <w:lvl w:ilvl="3" w:tentative="0">
      <w:start w:val="0"/>
      <w:numFmt w:val="none"/>
      <w:lvlText w:val=""/>
      <w:lvlJc w:val="left"/>
      <w:pPr>
        <w:tabs>
          <w:tab w:val="left" w:pos="360"/>
        </w:tabs>
      </w:pPr>
      <w:rPr>
        <w:rFonts w:hint="default" w:ascii="Times New Roman" w:hAnsi="Times New Roman" w:eastAsia="宋体"/>
        <w:u w:val="none"/>
      </w:rPr>
    </w:lvl>
    <w:lvl w:ilvl="4" w:tentative="0">
      <w:start w:val="1"/>
      <w:numFmt w:val="decimal"/>
      <w:lvlText w:val=""/>
      <w:lvlJc w:val="left"/>
      <w:pPr>
        <w:ind w:left="992" w:hanging="992"/>
      </w:pPr>
      <w:rPr>
        <w:rFonts w:hint="default" w:ascii="Times New Roman" w:hAnsi="Times New Roman" w:eastAsia="宋体"/>
        <w:u w:val="none"/>
      </w:rPr>
    </w:lvl>
    <w:lvl w:ilvl="5" w:tentative="0">
      <w:start w:val="0"/>
      <w:numFmt w:val="none"/>
      <w:lvlText w:val=""/>
      <w:lvlJc w:val="left"/>
      <w:pPr>
        <w:tabs>
          <w:tab w:val="left" w:pos="360"/>
        </w:tabs>
      </w:pPr>
      <w:rPr>
        <w:rFonts w:hint="default" w:ascii="Times New Roman" w:hAnsi="Times New Roman" w:eastAsia="宋体"/>
        <w:u w:val="none"/>
      </w:rPr>
    </w:lvl>
    <w:lvl w:ilvl="6" w:tentative="0">
      <w:start w:val="0"/>
      <w:numFmt w:val="none"/>
      <w:lvlText w:val=""/>
      <w:lvlJc w:val="left"/>
      <w:pPr>
        <w:tabs>
          <w:tab w:val="left" w:pos="360"/>
        </w:tabs>
      </w:pPr>
      <w:rPr>
        <w:rFonts w:hint="default" w:ascii="Times New Roman" w:hAnsi="Times New Roman" w:eastAsia="宋体"/>
        <w:u w:val="none"/>
      </w:rPr>
    </w:lvl>
    <w:lvl w:ilvl="7" w:tentative="0">
      <w:start w:val="0"/>
      <w:numFmt w:val="none"/>
      <w:lvlText w:val=""/>
      <w:lvlJc w:val="left"/>
      <w:pPr>
        <w:tabs>
          <w:tab w:val="left" w:pos="360"/>
        </w:tabs>
      </w:pPr>
      <w:rPr>
        <w:rFonts w:hint="default" w:ascii="Times New Roman" w:hAnsi="Times New Roman" w:eastAsia="宋体"/>
        <w:u w:val="none"/>
      </w:rPr>
    </w:lvl>
    <w:lvl w:ilvl="8" w:tentative="0">
      <w:start w:val="0"/>
      <w:numFmt w:val="none"/>
      <w:lvlText w:val=""/>
      <w:lvlJc w:val="left"/>
      <w:pPr>
        <w:tabs>
          <w:tab w:val="left" w:pos="360"/>
        </w:tabs>
      </w:pPr>
      <w:rPr>
        <w:rFonts w:hint="default" w:ascii="Times New Roman" w:hAnsi="Times New Roman" w:eastAsia="宋体"/>
        <w:u w:val="none"/>
      </w:rPr>
    </w:lvl>
  </w:abstractNum>
  <w:num w:numId="1">
    <w:abstractNumId w:val="4"/>
  </w:num>
  <w:num w:numId="2">
    <w:abstractNumId w:val="3"/>
  </w:num>
  <w:num w:numId="3">
    <w:abstractNumId w:val="1"/>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hdrShapeDefaults>
    <o:shapelayout v:ext="edit">
      <o:idmap v:ext="edit" data="3"/>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142F58"/>
    <w:rsid w:val="00001520"/>
    <w:rsid w:val="00004310"/>
    <w:rsid w:val="000067A7"/>
    <w:rsid w:val="00014559"/>
    <w:rsid w:val="00017946"/>
    <w:rsid w:val="00023CE2"/>
    <w:rsid w:val="00025B61"/>
    <w:rsid w:val="00031DAC"/>
    <w:rsid w:val="00042487"/>
    <w:rsid w:val="000445FF"/>
    <w:rsid w:val="00060575"/>
    <w:rsid w:val="000614E9"/>
    <w:rsid w:val="000629CA"/>
    <w:rsid w:val="0006757A"/>
    <w:rsid w:val="0007516D"/>
    <w:rsid w:val="00080887"/>
    <w:rsid w:val="000811FB"/>
    <w:rsid w:val="0009136B"/>
    <w:rsid w:val="000935E3"/>
    <w:rsid w:val="00096B3B"/>
    <w:rsid w:val="000B092E"/>
    <w:rsid w:val="000C11BB"/>
    <w:rsid w:val="000D1713"/>
    <w:rsid w:val="000D454D"/>
    <w:rsid w:val="000D7CBE"/>
    <w:rsid w:val="000E7A94"/>
    <w:rsid w:val="000F0F9E"/>
    <w:rsid w:val="000F3837"/>
    <w:rsid w:val="001110D8"/>
    <w:rsid w:val="001148D7"/>
    <w:rsid w:val="00115B32"/>
    <w:rsid w:val="001226A3"/>
    <w:rsid w:val="00123E9B"/>
    <w:rsid w:val="0013787D"/>
    <w:rsid w:val="00141C1F"/>
    <w:rsid w:val="00142F58"/>
    <w:rsid w:val="0014569D"/>
    <w:rsid w:val="00172B55"/>
    <w:rsid w:val="00174AAA"/>
    <w:rsid w:val="00175B00"/>
    <w:rsid w:val="00197E00"/>
    <w:rsid w:val="001B1127"/>
    <w:rsid w:val="001B6C38"/>
    <w:rsid w:val="001B7A2E"/>
    <w:rsid w:val="001D2063"/>
    <w:rsid w:val="001E0A31"/>
    <w:rsid w:val="001E0F7E"/>
    <w:rsid w:val="001E168D"/>
    <w:rsid w:val="001F2C7E"/>
    <w:rsid w:val="00205E2E"/>
    <w:rsid w:val="00212B59"/>
    <w:rsid w:val="00214AE7"/>
    <w:rsid w:val="00230985"/>
    <w:rsid w:val="00231E40"/>
    <w:rsid w:val="002336B3"/>
    <w:rsid w:val="00280BDA"/>
    <w:rsid w:val="002A0CA0"/>
    <w:rsid w:val="002A56E1"/>
    <w:rsid w:val="002A69D4"/>
    <w:rsid w:val="002B4ACD"/>
    <w:rsid w:val="002B4F07"/>
    <w:rsid w:val="002C3F52"/>
    <w:rsid w:val="002D79C9"/>
    <w:rsid w:val="002E5396"/>
    <w:rsid w:val="002E7AC1"/>
    <w:rsid w:val="002F25AA"/>
    <w:rsid w:val="002F6B2D"/>
    <w:rsid w:val="00347260"/>
    <w:rsid w:val="003514C4"/>
    <w:rsid w:val="00357626"/>
    <w:rsid w:val="00357BC3"/>
    <w:rsid w:val="00370487"/>
    <w:rsid w:val="003740E6"/>
    <w:rsid w:val="00387E97"/>
    <w:rsid w:val="00394DAD"/>
    <w:rsid w:val="00395454"/>
    <w:rsid w:val="003B62C6"/>
    <w:rsid w:val="003C1426"/>
    <w:rsid w:val="003C35EA"/>
    <w:rsid w:val="003C4034"/>
    <w:rsid w:val="003E6055"/>
    <w:rsid w:val="003F24A1"/>
    <w:rsid w:val="003F6210"/>
    <w:rsid w:val="00401428"/>
    <w:rsid w:val="00405F11"/>
    <w:rsid w:val="004112C3"/>
    <w:rsid w:val="00420537"/>
    <w:rsid w:val="00426E99"/>
    <w:rsid w:val="00432311"/>
    <w:rsid w:val="00434F58"/>
    <w:rsid w:val="00435D2D"/>
    <w:rsid w:val="00442E78"/>
    <w:rsid w:val="00453560"/>
    <w:rsid w:val="00456002"/>
    <w:rsid w:val="004657EE"/>
    <w:rsid w:val="004775F2"/>
    <w:rsid w:val="004857F0"/>
    <w:rsid w:val="00491073"/>
    <w:rsid w:val="004B45AE"/>
    <w:rsid w:val="004C16B4"/>
    <w:rsid w:val="004E12A6"/>
    <w:rsid w:val="004E2059"/>
    <w:rsid w:val="004E7733"/>
    <w:rsid w:val="00500176"/>
    <w:rsid w:val="00500630"/>
    <w:rsid w:val="00502039"/>
    <w:rsid w:val="00510696"/>
    <w:rsid w:val="00512594"/>
    <w:rsid w:val="00512DC5"/>
    <w:rsid w:val="005206E8"/>
    <w:rsid w:val="00531A08"/>
    <w:rsid w:val="0054068B"/>
    <w:rsid w:val="00540F75"/>
    <w:rsid w:val="0054765B"/>
    <w:rsid w:val="00561265"/>
    <w:rsid w:val="00561E8B"/>
    <w:rsid w:val="00570191"/>
    <w:rsid w:val="005720B5"/>
    <w:rsid w:val="00585A72"/>
    <w:rsid w:val="00585E08"/>
    <w:rsid w:val="005938E5"/>
    <w:rsid w:val="00596383"/>
    <w:rsid w:val="005A77B1"/>
    <w:rsid w:val="005C2152"/>
    <w:rsid w:val="005C285C"/>
    <w:rsid w:val="005C43EB"/>
    <w:rsid w:val="005D601F"/>
    <w:rsid w:val="005E0BA3"/>
    <w:rsid w:val="005E3C3A"/>
    <w:rsid w:val="005E5248"/>
    <w:rsid w:val="005F4680"/>
    <w:rsid w:val="00624AB9"/>
    <w:rsid w:val="00635309"/>
    <w:rsid w:val="0064177C"/>
    <w:rsid w:val="00641A1B"/>
    <w:rsid w:val="006517D2"/>
    <w:rsid w:val="00662D53"/>
    <w:rsid w:val="00667FB4"/>
    <w:rsid w:val="00671114"/>
    <w:rsid w:val="00687543"/>
    <w:rsid w:val="006876AF"/>
    <w:rsid w:val="006A4999"/>
    <w:rsid w:val="006A5524"/>
    <w:rsid w:val="006A58EB"/>
    <w:rsid w:val="006C0C8C"/>
    <w:rsid w:val="006C43CE"/>
    <w:rsid w:val="006F0BB7"/>
    <w:rsid w:val="00711BC0"/>
    <w:rsid w:val="00713808"/>
    <w:rsid w:val="00730299"/>
    <w:rsid w:val="007306F2"/>
    <w:rsid w:val="00745360"/>
    <w:rsid w:val="00757831"/>
    <w:rsid w:val="007630EB"/>
    <w:rsid w:val="00767013"/>
    <w:rsid w:val="00773552"/>
    <w:rsid w:val="0078207E"/>
    <w:rsid w:val="00796E3D"/>
    <w:rsid w:val="00796F90"/>
    <w:rsid w:val="007A04B3"/>
    <w:rsid w:val="007B09F0"/>
    <w:rsid w:val="007B18E0"/>
    <w:rsid w:val="007C0EFA"/>
    <w:rsid w:val="007C1F93"/>
    <w:rsid w:val="007D59CC"/>
    <w:rsid w:val="007E70BC"/>
    <w:rsid w:val="007F3FF0"/>
    <w:rsid w:val="00801EFC"/>
    <w:rsid w:val="00807121"/>
    <w:rsid w:val="00814139"/>
    <w:rsid w:val="0082243E"/>
    <w:rsid w:val="008254B4"/>
    <w:rsid w:val="00833452"/>
    <w:rsid w:val="00836727"/>
    <w:rsid w:val="00840321"/>
    <w:rsid w:val="00844655"/>
    <w:rsid w:val="00851B9B"/>
    <w:rsid w:val="00864F35"/>
    <w:rsid w:val="00865EDC"/>
    <w:rsid w:val="00867378"/>
    <w:rsid w:val="00881AF4"/>
    <w:rsid w:val="00885CEC"/>
    <w:rsid w:val="008C6C83"/>
    <w:rsid w:val="008D3C3D"/>
    <w:rsid w:val="008E3DA3"/>
    <w:rsid w:val="008E552E"/>
    <w:rsid w:val="00903B42"/>
    <w:rsid w:val="00906D77"/>
    <w:rsid w:val="0094393F"/>
    <w:rsid w:val="009445B2"/>
    <w:rsid w:val="0094552E"/>
    <w:rsid w:val="00946B69"/>
    <w:rsid w:val="00947982"/>
    <w:rsid w:val="009528CA"/>
    <w:rsid w:val="009707F9"/>
    <w:rsid w:val="0098446D"/>
    <w:rsid w:val="009870C3"/>
    <w:rsid w:val="0099085A"/>
    <w:rsid w:val="009935DE"/>
    <w:rsid w:val="00997C86"/>
    <w:rsid w:val="009A1CD8"/>
    <w:rsid w:val="009B1A28"/>
    <w:rsid w:val="009B2D43"/>
    <w:rsid w:val="009C265A"/>
    <w:rsid w:val="009C29A1"/>
    <w:rsid w:val="009C33DD"/>
    <w:rsid w:val="009D03E0"/>
    <w:rsid w:val="009F67F2"/>
    <w:rsid w:val="00A005B8"/>
    <w:rsid w:val="00A30FFB"/>
    <w:rsid w:val="00A352A5"/>
    <w:rsid w:val="00A4139F"/>
    <w:rsid w:val="00A55DED"/>
    <w:rsid w:val="00A76773"/>
    <w:rsid w:val="00A80D20"/>
    <w:rsid w:val="00A918A0"/>
    <w:rsid w:val="00A95D73"/>
    <w:rsid w:val="00AA4C06"/>
    <w:rsid w:val="00AD26C5"/>
    <w:rsid w:val="00AE194D"/>
    <w:rsid w:val="00AF723A"/>
    <w:rsid w:val="00B06B71"/>
    <w:rsid w:val="00B21633"/>
    <w:rsid w:val="00B237AE"/>
    <w:rsid w:val="00B241DA"/>
    <w:rsid w:val="00B415AF"/>
    <w:rsid w:val="00B64BE4"/>
    <w:rsid w:val="00B65899"/>
    <w:rsid w:val="00B703A9"/>
    <w:rsid w:val="00B73584"/>
    <w:rsid w:val="00B813E8"/>
    <w:rsid w:val="00B85FA7"/>
    <w:rsid w:val="00B936B1"/>
    <w:rsid w:val="00B95496"/>
    <w:rsid w:val="00B95DF6"/>
    <w:rsid w:val="00B97404"/>
    <w:rsid w:val="00BB7B93"/>
    <w:rsid w:val="00BC15AE"/>
    <w:rsid w:val="00BD48A9"/>
    <w:rsid w:val="00BD7E54"/>
    <w:rsid w:val="00BE6CF3"/>
    <w:rsid w:val="00C0051A"/>
    <w:rsid w:val="00C02BEB"/>
    <w:rsid w:val="00C105B7"/>
    <w:rsid w:val="00C22B96"/>
    <w:rsid w:val="00C23AE3"/>
    <w:rsid w:val="00C242DC"/>
    <w:rsid w:val="00C31306"/>
    <w:rsid w:val="00C34C32"/>
    <w:rsid w:val="00C448C8"/>
    <w:rsid w:val="00C47FBE"/>
    <w:rsid w:val="00C50AEA"/>
    <w:rsid w:val="00C747C2"/>
    <w:rsid w:val="00C85E89"/>
    <w:rsid w:val="00C870E5"/>
    <w:rsid w:val="00C95DBD"/>
    <w:rsid w:val="00CA67E1"/>
    <w:rsid w:val="00CB43F6"/>
    <w:rsid w:val="00CB5609"/>
    <w:rsid w:val="00CC47E4"/>
    <w:rsid w:val="00CD0855"/>
    <w:rsid w:val="00CF3FD9"/>
    <w:rsid w:val="00CF44A9"/>
    <w:rsid w:val="00D05D19"/>
    <w:rsid w:val="00D1656E"/>
    <w:rsid w:val="00D24B0D"/>
    <w:rsid w:val="00D32081"/>
    <w:rsid w:val="00D559D7"/>
    <w:rsid w:val="00D61B94"/>
    <w:rsid w:val="00D7079D"/>
    <w:rsid w:val="00D820C3"/>
    <w:rsid w:val="00D843A5"/>
    <w:rsid w:val="00D91A90"/>
    <w:rsid w:val="00D96513"/>
    <w:rsid w:val="00DA68C1"/>
    <w:rsid w:val="00DB16A0"/>
    <w:rsid w:val="00DC4A1E"/>
    <w:rsid w:val="00DC4A95"/>
    <w:rsid w:val="00DD729B"/>
    <w:rsid w:val="00DE7916"/>
    <w:rsid w:val="00E03D53"/>
    <w:rsid w:val="00E10FF4"/>
    <w:rsid w:val="00E13537"/>
    <w:rsid w:val="00E14E10"/>
    <w:rsid w:val="00E22A2D"/>
    <w:rsid w:val="00E22C34"/>
    <w:rsid w:val="00E255A3"/>
    <w:rsid w:val="00E3445F"/>
    <w:rsid w:val="00E47C49"/>
    <w:rsid w:val="00E55358"/>
    <w:rsid w:val="00E74028"/>
    <w:rsid w:val="00E77761"/>
    <w:rsid w:val="00E8296C"/>
    <w:rsid w:val="00E83EAA"/>
    <w:rsid w:val="00E93E24"/>
    <w:rsid w:val="00E94BEB"/>
    <w:rsid w:val="00E9507C"/>
    <w:rsid w:val="00EB6638"/>
    <w:rsid w:val="00EC2292"/>
    <w:rsid w:val="00EC4402"/>
    <w:rsid w:val="00EC682E"/>
    <w:rsid w:val="00ED4291"/>
    <w:rsid w:val="00ED7B68"/>
    <w:rsid w:val="00EE6A54"/>
    <w:rsid w:val="00EF0F3D"/>
    <w:rsid w:val="00EF7E65"/>
    <w:rsid w:val="00F03479"/>
    <w:rsid w:val="00F0354B"/>
    <w:rsid w:val="00F12119"/>
    <w:rsid w:val="00F24EED"/>
    <w:rsid w:val="00F253C0"/>
    <w:rsid w:val="00F40297"/>
    <w:rsid w:val="00F40907"/>
    <w:rsid w:val="00F43600"/>
    <w:rsid w:val="00F441F2"/>
    <w:rsid w:val="00F46CE1"/>
    <w:rsid w:val="00F47A23"/>
    <w:rsid w:val="00F56330"/>
    <w:rsid w:val="00F60589"/>
    <w:rsid w:val="00F6739D"/>
    <w:rsid w:val="00F75B82"/>
    <w:rsid w:val="00F75FB7"/>
    <w:rsid w:val="00F842E2"/>
    <w:rsid w:val="00F87271"/>
    <w:rsid w:val="00F93CB3"/>
    <w:rsid w:val="00F94E5E"/>
    <w:rsid w:val="00F97965"/>
    <w:rsid w:val="00FA2431"/>
    <w:rsid w:val="00FA3A90"/>
    <w:rsid w:val="00FA4269"/>
    <w:rsid w:val="00FC076A"/>
    <w:rsid w:val="00FC4409"/>
    <w:rsid w:val="00FC5C70"/>
    <w:rsid w:val="00FC6E3B"/>
    <w:rsid w:val="00FC7441"/>
    <w:rsid w:val="00FD2D8A"/>
    <w:rsid w:val="00FD43D0"/>
    <w:rsid w:val="00FD7FDC"/>
    <w:rsid w:val="012B0B95"/>
    <w:rsid w:val="016E2B46"/>
    <w:rsid w:val="018610A4"/>
    <w:rsid w:val="01B801F0"/>
    <w:rsid w:val="01EE4CDE"/>
    <w:rsid w:val="021423FD"/>
    <w:rsid w:val="022C1086"/>
    <w:rsid w:val="02664E10"/>
    <w:rsid w:val="03E05B07"/>
    <w:rsid w:val="03EA6142"/>
    <w:rsid w:val="04036F9B"/>
    <w:rsid w:val="044728F8"/>
    <w:rsid w:val="047E401A"/>
    <w:rsid w:val="048C064D"/>
    <w:rsid w:val="049D16F5"/>
    <w:rsid w:val="04BC22F8"/>
    <w:rsid w:val="04D05C62"/>
    <w:rsid w:val="04FB1343"/>
    <w:rsid w:val="0528358A"/>
    <w:rsid w:val="052E6AD6"/>
    <w:rsid w:val="05336820"/>
    <w:rsid w:val="05915EA1"/>
    <w:rsid w:val="05AE10DE"/>
    <w:rsid w:val="061D71D5"/>
    <w:rsid w:val="069756BC"/>
    <w:rsid w:val="07082FD5"/>
    <w:rsid w:val="071359F6"/>
    <w:rsid w:val="073057C5"/>
    <w:rsid w:val="07364EAF"/>
    <w:rsid w:val="075B4BDE"/>
    <w:rsid w:val="07941E23"/>
    <w:rsid w:val="08146623"/>
    <w:rsid w:val="08592975"/>
    <w:rsid w:val="086D3534"/>
    <w:rsid w:val="0899672D"/>
    <w:rsid w:val="08BC5FC8"/>
    <w:rsid w:val="08C77370"/>
    <w:rsid w:val="08D34F92"/>
    <w:rsid w:val="09375E4A"/>
    <w:rsid w:val="09864B42"/>
    <w:rsid w:val="09945FB3"/>
    <w:rsid w:val="09CB74E9"/>
    <w:rsid w:val="09D40C35"/>
    <w:rsid w:val="0A3D3CF8"/>
    <w:rsid w:val="0A5B53F3"/>
    <w:rsid w:val="0B017F84"/>
    <w:rsid w:val="0B280509"/>
    <w:rsid w:val="0B410D8A"/>
    <w:rsid w:val="0B4E7242"/>
    <w:rsid w:val="0B4F7365"/>
    <w:rsid w:val="0B892046"/>
    <w:rsid w:val="0B902A08"/>
    <w:rsid w:val="0B994DDB"/>
    <w:rsid w:val="0C1E2796"/>
    <w:rsid w:val="0C3024FA"/>
    <w:rsid w:val="0C615900"/>
    <w:rsid w:val="0C6E743A"/>
    <w:rsid w:val="0C742070"/>
    <w:rsid w:val="0C7504CC"/>
    <w:rsid w:val="0CD9308A"/>
    <w:rsid w:val="0CF51719"/>
    <w:rsid w:val="0D0F0570"/>
    <w:rsid w:val="0D1B3E49"/>
    <w:rsid w:val="0D2C0C4B"/>
    <w:rsid w:val="0D7F5917"/>
    <w:rsid w:val="0D9B1896"/>
    <w:rsid w:val="0DAE1EBE"/>
    <w:rsid w:val="0E0872CA"/>
    <w:rsid w:val="0E1D38B7"/>
    <w:rsid w:val="0E707A1F"/>
    <w:rsid w:val="0ED45F0F"/>
    <w:rsid w:val="0EF02F3E"/>
    <w:rsid w:val="0F356F51"/>
    <w:rsid w:val="0F7F290E"/>
    <w:rsid w:val="0F840133"/>
    <w:rsid w:val="0FE412D6"/>
    <w:rsid w:val="0FFE05E0"/>
    <w:rsid w:val="10096B28"/>
    <w:rsid w:val="10997D08"/>
    <w:rsid w:val="10B925F2"/>
    <w:rsid w:val="111F183E"/>
    <w:rsid w:val="115E495D"/>
    <w:rsid w:val="11DC1C55"/>
    <w:rsid w:val="124E457B"/>
    <w:rsid w:val="12BC25A9"/>
    <w:rsid w:val="12D127BC"/>
    <w:rsid w:val="12E74E2A"/>
    <w:rsid w:val="131564B9"/>
    <w:rsid w:val="13663F35"/>
    <w:rsid w:val="13720679"/>
    <w:rsid w:val="139B4AAA"/>
    <w:rsid w:val="13D23334"/>
    <w:rsid w:val="141E0430"/>
    <w:rsid w:val="14293F5B"/>
    <w:rsid w:val="14494ADE"/>
    <w:rsid w:val="145008AE"/>
    <w:rsid w:val="14AE32D3"/>
    <w:rsid w:val="14D929CE"/>
    <w:rsid w:val="1568533E"/>
    <w:rsid w:val="15B62705"/>
    <w:rsid w:val="161334DF"/>
    <w:rsid w:val="1636467D"/>
    <w:rsid w:val="164C60F6"/>
    <w:rsid w:val="165109BA"/>
    <w:rsid w:val="170E4DF6"/>
    <w:rsid w:val="17923C49"/>
    <w:rsid w:val="17BE0A91"/>
    <w:rsid w:val="17F97973"/>
    <w:rsid w:val="181E1BBF"/>
    <w:rsid w:val="183325C7"/>
    <w:rsid w:val="184F3E8B"/>
    <w:rsid w:val="187B2C6A"/>
    <w:rsid w:val="18831286"/>
    <w:rsid w:val="18B534CC"/>
    <w:rsid w:val="18CF1205"/>
    <w:rsid w:val="1954300C"/>
    <w:rsid w:val="19823FEE"/>
    <w:rsid w:val="198929F2"/>
    <w:rsid w:val="19C11703"/>
    <w:rsid w:val="19FF40D9"/>
    <w:rsid w:val="1A0E1D8A"/>
    <w:rsid w:val="1A1857CB"/>
    <w:rsid w:val="1A734297"/>
    <w:rsid w:val="1A9237C9"/>
    <w:rsid w:val="1ABB231B"/>
    <w:rsid w:val="1ADE6696"/>
    <w:rsid w:val="1AEA1CAA"/>
    <w:rsid w:val="1BEA5432"/>
    <w:rsid w:val="1C021AA4"/>
    <w:rsid w:val="1C730F40"/>
    <w:rsid w:val="1C791F2E"/>
    <w:rsid w:val="1C890DD8"/>
    <w:rsid w:val="1C923D72"/>
    <w:rsid w:val="1CD31DA3"/>
    <w:rsid w:val="1D320E63"/>
    <w:rsid w:val="1D385D2A"/>
    <w:rsid w:val="1D851D92"/>
    <w:rsid w:val="1D8A53EB"/>
    <w:rsid w:val="1D9F26C5"/>
    <w:rsid w:val="1E235378"/>
    <w:rsid w:val="1E4731B1"/>
    <w:rsid w:val="1E4C3433"/>
    <w:rsid w:val="1E8B67B1"/>
    <w:rsid w:val="1E8E6337"/>
    <w:rsid w:val="1E9133DC"/>
    <w:rsid w:val="1ECE7F98"/>
    <w:rsid w:val="1EDA4025"/>
    <w:rsid w:val="1F096067"/>
    <w:rsid w:val="1F14750F"/>
    <w:rsid w:val="1F18667D"/>
    <w:rsid w:val="1F7F45B5"/>
    <w:rsid w:val="1F964A6B"/>
    <w:rsid w:val="1FA44941"/>
    <w:rsid w:val="1FBF0C48"/>
    <w:rsid w:val="1FFD7587"/>
    <w:rsid w:val="200B541E"/>
    <w:rsid w:val="20204660"/>
    <w:rsid w:val="202C311C"/>
    <w:rsid w:val="20305C42"/>
    <w:rsid w:val="20322C7A"/>
    <w:rsid w:val="20602047"/>
    <w:rsid w:val="20A56062"/>
    <w:rsid w:val="20CE30FE"/>
    <w:rsid w:val="20EA2191"/>
    <w:rsid w:val="20F25A1B"/>
    <w:rsid w:val="21443373"/>
    <w:rsid w:val="2179465E"/>
    <w:rsid w:val="21967020"/>
    <w:rsid w:val="22491C87"/>
    <w:rsid w:val="22BD187F"/>
    <w:rsid w:val="22E31A7B"/>
    <w:rsid w:val="23243252"/>
    <w:rsid w:val="23544AB5"/>
    <w:rsid w:val="23DC5BEF"/>
    <w:rsid w:val="2489297A"/>
    <w:rsid w:val="249770FA"/>
    <w:rsid w:val="24A52FCC"/>
    <w:rsid w:val="24B20AEB"/>
    <w:rsid w:val="25195466"/>
    <w:rsid w:val="253A57E8"/>
    <w:rsid w:val="25482DB3"/>
    <w:rsid w:val="25B345FB"/>
    <w:rsid w:val="260355FD"/>
    <w:rsid w:val="260554A3"/>
    <w:rsid w:val="26B709C5"/>
    <w:rsid w:val="26B92216"/>
    <w:rsid w:val="26FE0685"/>
    <w:rsid w:val="274E5BFE"/>
    <w:rsid w:val="27601888"/>
    <w:rsid w:val="27987C18"/>
    <w:rsid w:val="27B058CD"/>
    <w:rsid w:val="27B14C3B"/>
    <w:rsid w:val="27C36CB4"/>
    <w:rsid w:val="27DC3AC9"/>
    <w:rsid w:val="28AA3A73"/>
    <w:rsid w:val="28F0423E"/>
    <w:rsid w:val="294A1834"/>
    <w:rsid w:val="2956056B"/>
    <w:rsid w:val="29614326"/>
    <w:rsid w:val="29EF3530"/>
    <w:rsid w:val="2A083FA4"/>
    <w:rsid w:val="2AA36599"/>
    <w:rsid w:val="2AB907A4"/>
    <w:rsid w:val="2AE42AB8"/>
    <w:rsid w:val="2AF034B9"/>
    <w:rsid w:val="2B1F6B63"/>
    <w:rsid w:val="2B4C1AFF"/>
    <w:rsid w:val="2B5B1D28"/>
    <w:rsid w:val="2C180781"/>
    <w:rsid w:val="2C653E95"/>
    <w:rsid w:val="2C6C42EB"/>
    <w:rsid w:val="2CAD030A"/>
    <w:rsid w:val="2CB757E2"/>
    <w:rsid w:val="2CEE2B50"/>
    <w:rsid w:val="2D2A1424"/>
    <w:rsid w:val="2D554D9C"/>
    <w:rsid w:val="2D89420C"/>
    <w:rsid w:val="2D974D1B"/>
    <w:rsid w:val="2DC47B50"/>
    <w:rsid w:val="2DE27FA3"/>
    <w:rsid w:val="2DEB0796"/>
    <w:rsid w:val="2E2C2CC0"/>
    <w:rsid w:val="2EE43ADA"/>
    <w:rsid w:val="2F22397C"/>
    <w:rsid w:val="2F426047"/>
    <w:rsid w:val="2F4A07B9"/>
    <w:rsid w:val="2FC86917"/>
    <w:rsid w:val="2FD327FF"/>
    <w:rsid w:val="300D354B"/>
    <w:rsid w:val="303967D2"/>
    <w:rsid w:val="304A3C38"/>
    <w:rsid w:val="3065292D"/>
    <w:rsid w:val="30720F8E"/>
    <w:rsid w:val="308E219C"/>
    <w:rsid w:val="30C32E1A"/>
    <w:rsid w:val="30D0605B"/>
    <w:rsid w:val="30E35FAA"/>
    <w:rsid w:val="319228E0"/>
    <w:rsid w:val="31F54E59"/>
    <w:rsid w:val="320A4319"/>
    <w:rsid w:val="32164B06"/>
    <w:rsid w:val="322068F2"/>
    <w:rsid w:val="322240ED"/>
    <w:rsid w:val="3234372C"/>
    <w:rsid w:val="32892917"/>
    <w:rsid w:val="328E565C"/>
    <w:rsid w:val="32A71A49"/>
    <w:rsid w:val="32D060E4"/>
    <w:rsid w:val="32D448AF"/>
    <w:rsid w:val="32F75B66"/>
    <w:rsid w:val="32FB43A2"/>
    <w:rsid w:val="333D30C3"/>
    <w:rsid w:val="33754158"/>
    <w:rsid w:val="338D0BDF"/>
    <w:rsid w:val="33CB1A65"/>
    <w:rsid w:val="33E73897"/>
    <w:rsid w:val="34046675"/>
    <w:rsid w:val="34833C78"/>
    <w:rsid w:val="34856FE5"/>
    <w:rsid w:val="35382DC1"/>
    <w:rsid w:val="358865E2"/>
    <w:rsid w:val="35EC4F34"/>
    <w:rsid w:val="361450F8"/>
    <w:rsid w:val="362859E6"/>
    <w:rsid w:val="36506B95"/>
    <w:rsid w:val="36653632"/>
    <w:rsid w:val="368A454F"/>
    <w:rsid w:val="36A30A1B"/>
    <w:rsid w:val="36F63298"/>
    <w:rsid w:val="370F6852"/>
    <w:rsid w:val="37FE3686"/>
    <w:rsid w:val="38095114"/>
    <w:rsid w:val="38553648"/>
    <w:rsid w:val="387F28A8"/>
    <w:rsid w:val="38BA1C2C"/>
    <w:rsid w:val="38D34528"/>
    <w:rsid w:val="38D417EA"/>
    <w:rsid w:val="39373F8B"/>
    <w:rsid w:val="393D3B74"/>
    <w:rsid w:val="396F52AB"/>
    <w:rsid w:val="397466D4"/>
    <w:rsid w:val="39CE37A2"/>
    <w:rsid w:val="39F34411"/>
    <w:rsid w:val="3B02076B"/>
    <w:rsid w:val="3BFA07D1"/>
    <w:rsid w:val="3C135B1A"/>
    <w:rsid w:val="3C2B3D07"/>
    <w:rsid w:val="3C9E7B44"/>
    <w:rsid w:val="3CB24366"/>
    <w:rsid w:val="3D0A2126"/>
    <w:rsid w:val="3D102F86"/>
    <w:rsid w:val="3D16008A"/>
    <w:rsid w:val="3D557185"/>
    <w:rsid w:val="3D8833EC"/>
    <w:rsid w:val="3DA042D7"/>
    <w:rsid w:val="3E176412"/>
    <w:rsid w:val="3E315A11"/>
    <w:rsid w:val="3E7237A5"/>
    <w:rsid w:val="3ED06BBC"/>
    <w:rsid w:val="3EE031E0"/>
    <w:rsid w:val="3EEA240C"/>
    <w:rsid w:val="3EF527D7"/>
    <w:rsid w:val="3F1721B7"/>
    <w:rsid w:val="3F412BB8"/>
    <w:rsid w:val="3F9153B8"/>
    <w:rsid w:val="3F92037D"/>
    <w:rsid w:val="3F952AA9"/>
    <w:rsid w:val="3F9F6AF8"/>
    <w:rsid w:val="3FCA2760"/>
    <w:rsid w:val="402E74E4"/>
    <w:rsid w:val="40802538"/>
    <w:rsid w:val="41291024"/>
    <w:rsid w:val="413B7816"/>
    <w:rsid w:val="414A4C53"/>
    <w:rsid w:val="419066B5"/>
    <w:rsid w:val="41B229C0"/>
    <w:rsid w:val="41E63E6E"/>
    <w:rsid w:val="420D61B0"/>
    <w:rsid w:val="422954A7"/>
    <w:rsid w:val="425E541C"/>
    <w:rsid w:val="42EA5A50"/>
    <w:rsid w:val="430E1F72"/>
    <w:rsid w:val="434802D6"/>
    <w:rsid w:val="434B1959"/>
    <w:rsid w:val="4384363F"/>
    <w:rsid w:val="43D64159"/>
    <w:rsid w:val="43F25FB5"/>
    <w:rsid w:val="43F509F6"/>
    <w:rsid w:val="44F30910"/>
    <w:rsid w:val="450E7C28"/>
    <w:rsid w:val="45824661"/>
    <w:rsid w:val="45DC1BCA"/>
    <w:rsid w:val="46114C5A"/>
    <w:rsid w:val="468A5828"/>
    <w:rsid w:val="46B20AE3"/>
    <w:rsid w:val="47766041"/>
    <w:rsid w:val="47B313B3"/>
    <w:rsid w:val="47C768AE"/>
    <w:rsid w:val="47F408AD"/>
    <w:rsid w:val="48497D88"/>
    <w:rsid w:val="487477E9"/>
    <w:rsid w:val="4888440F"/>
    <w:rsid w:val="49161A72"/>
    <w:rsid w:val="49375F0B"/>
    <w:rsid w:val="499C67B7"/>
    <w:rsid w:val="49AE7D96"/>
    <w:rsid w:val="49CE4B4E"/>
    <w:rsid w:val="49F57129"/>
    <w:rsid w:val="4A3E1619"/>
    <w:rsid w:val="4A5E6315"/>
    <w:rsid w:val="4A606B17"/>
    <w:rsid w:val="4A6C75C6"/>
    <w:rsid w:val="4A7679A6"/>
    <w:rsid w:val="4A963685"/>
    <w:rsid w:val="4AA37465"/>
    <w:rsid w:val="4AA76D8D"/>
    <w:rsid w:val="4AB44740"/>
    <w:rsid w:val="4AC074D2"/>
    <w:rsid w:val="4AF638A4"/>
    <w:rsid w:val="4B096688"/>
    <w:rsid w:val="4B431A85"/>
    <w:rsid w:val="4B7671D5"/>
    <w:rsid w:val="4B812E64"/>
    <w:rsid w:val="4B955FEA"/>
    <w:rsid w:val="4BDA59EE"/>
    <w:rsid w:val="4C042251"/>
    <w:rsid w:val="4C273F6C"/>
    <w:rsid w:val="4CB07709"/>
    <w:rsid w:val="4CF43218"/>
    <w:rsid w:val="4D081AFF"/>
    <w:rsid w:val="4D302CF6"/>
    <w:rsid w:val="4D383CA3"/>
    <w:rsid w:val="4D5343C9"/>
    <w:rsid w:val="4D7D1635"/>
    <w:rsid w:val="4DB27A4E"/>
    <w:rsid w:val="4DF8629F"/>
    <w:rsid w:val="4E335017"/>
    <w:rsid w:val="4E406704"/>
    <w:rsid w:val="4E5E7CEE"/>
    <w:rsid w:val="4E632C9A"/>
    <w:rsid w:val="4E7E5144"/>
    <w:rsid w:val="4F362B19"/>
    <w:rsid w:val="4F3F780A"/>
    <w:rsid w:val="4F5A6DDB"/>
    <w:rsid w:val="4FC22D8E"/>
    <w:rsid w:val="502B0525"/>
    <w:rsid w:val="5034197B"/>
    <w:rsid w:val="50511520"/>
    <w:rsid w:val="505F0B35"/>
    <w:rsid w:val="50983083"/>
    <w:rsid w:val="50A37091"/>
    <w:rsid w:val="50C37FDE"/>
    <w:rsid w:val="50C911E3"/>
    <w:rsid w:val="50DB4BE8"/>
    <w:rsid w:val="50EE24C8"/>
    <w:rsid w:val="50FD2948"/>
    <w:rsid w:val="51D97EA1"/>
    <w:rsid w:val="521B53FA"/>
    <w:rsid w:val="52A82701"/>
    <w:rsid w:val="52AF7D7A"/>
    <w:rsid w:val="52DB28BE"/>
    <w:rsid w:val="52DD31D2"/>
    <w:rsid w:val="52E7723E"/>
    <w:rsid w:val="532E3A44"/>
    <w:rsid w:val="5376474F"/>
    <w:rsid w:val="53BC3CB8"/>
    <w:rsid w:val="53BE7FA6"/>
    <w:rsid w:val="53D9071F"/>
    <w:rsid w:val="54104C1D"/>
    <w:rsid w:val="544169C8"/>
    <w:rsid w:val="5451612C"/>
    <w:rsid w:val="54715775"/>
    <w:rsid w:val="54785E27"/>
    <w:rsid w:val="54B949FB"/>
    <w:rsid w:val="5523074E"/>
    <w:rsid w:val="55684255"/>
    <w:rsid w:val="56A47F97"/>
    <w:rsid w:val="574B5256"/>
    <w:rsid w:val="57A24262"/>
    <w:rsid w:val="57AF7166"/>
    <w:rsid w:val="588242B9"/>
    <w:rsid w:val="58FC7988"/>
    <w:rsid w:val="59542CBA"/>
    <w:rsid w:val="598C201D"/>
    <w:rsid w:val="5B20614D"/>
    <w:rsid w:val="5BB4447E"/>
    <w:rsid w:val="5BEA2D94"/>
    <w:rsid w:val="5C005B86"/>
    <w:rsid w:val="5C132DDD"/>
    <w:rsid w:val="5C3358F4"/>
    <w:rsid w:val="5C351A98"/>
    <w:rsid w:val="5C442834"/>
    <w:rsid w:val="5C750601"/>
    <w:rsid w:val="5CAA1EAC"/>
    <w:rsid w:val="5D8B3BED"/>
    <w:rsid w:val="5DB92F42"/>
    <w:rsid w:val="5E3448BC"/>
    <w:rsid w:val="5F1930C5"/>
    <w:rsid w:val="5F1E5FDA"/>
    <w:rsid w:val="5F5251B9"/>
    <w:rsid w:val="5F532E90"/>
    <w:rsid w:val="5F891CF9"/>
    <w:rsid w:val="5F930BEE"/>
    <w:rsid w:val="5FB97C79"/>
    <w:rsid w:val="5FF174A1"/>
    <w:rsid w:val="60381536"/>
    <w:rsid w:val="60CA2F8A"/>
    <w:rsid w:val="61080127"/>
    <w:rsid w:val="6137662D"/>
    <w:rsid w:val="613945C1"/>
    <w:rsid w:val="61454C25"/>
    <w:rsid w:val="61B43DED"/>
    <w:rsid w:val="61C0532C"/>
    <w:rsid w:val="62061511"/>
    <w:rsid w:val="62287FE6"/>
    <w:rsid w:val="6229578C"/>
    <w:rsid w:val="623F54BA"/>
    <w:rsid w:val="62B06733"/>
    <w:rsid w:val="632F6F38"/>
    <w:rsid w:val="63347812"/>
    <w:rsid w:val="63382879"/>
    <w:rsid w:val="63570506"/>
    <w:rsid w:val="63C30F94"/>
    <w:rsid w:val="63DE363C"/>
    <w:rsid w:val="64087FF9"/>
    <w:rsid w:val="64434D21"/>
    <w:rsid w:val="649B2804"/>
    <w:rsid w:val="64AC285B"/>
    <w:rsid w:val="64AC7723"/>
    <w:rsid w:val="64AF487F"/>
    <w:rsid w:val="64D267D3"/>
    <w:rsid w:val="65092586"/>
    <w:rsid w:val="652E372E"/>
    <w:rsid w:val="653E086B"/>
    <w:rsid w:val="65CB7328"/>
    <w:rsid w:val="662F3469"/>
    <w:rsid w:val="666C7260"/>
    <w:rsid w:val="66BE28EE"/>
    <w:rsid w:val="66BF582E"/>
    <w:rsid w:val="66C31B5F"/>
    <w:rsid w:val="674963AA"/>
    <w:rsid w:val="68B652F7"/>
    <w:rsid w:val="69027C05"/>
    <w:rsid w:val="6923555F"/>
    <w:rsid w:val="695B37C2"/>
    <w:rsid w:val="69884256"/>
    <w:rsid w:val="69F17BCC"/>
    <w:rsid w:val="6A1E617A"/>
    <w:rsid w:val="6A3E2779"/>
    <w:rsid w:val="6A3F6B20"/>
    <w:rsid w:val="6AE70983"/>
    <w:rsid w:val="6B7812CE"/>
    <w:rsid w:val="6BB67909"/>
    <w:rsid w:val="6BCB4215"/>
    <w:rsid w:val="6C017D0F"/>
    <w:rsid w:val="6C024681"/>
    <w:rsid w:val="6CAE09F2"/>
    <w:rsid w:val="6CC93721"/>
    <w:rsid w:val="6D4361AD"/>
    <w:rsid w:val="6D606465"/>
    <w:rsid w:val="6D846015"/>
    <w:rsid w:val="6D89190E"/>
    <w:rsid w:val="6E900CC7"/>
    <w:rsid w:val="6EAA33B1"/>
    <w:rsid w:val="6EBE35F2"/>
    <w:rsid w:val="6ECC5969"/>
    <w:rsid w:val="6F42461F"/>
    <w:rsid w:val="6F780C58"/>
    <w:rsid w:val="6F8A2566"/>
    <w:rsid w:val="6F8A42E2"/>
    <w:rsid w:val="701941EC"/>
    <w:rsid w:val="705752AD"/>
    <w:rsid w:val="70872C54"/>
    <w:rsid w:val="70A41517"/>
    <w:rsid w:val="70AD172A"/>
    <w:rsid w:val="710E2ED6"/>
    <w:rsid w:val="719211F2"/>
    <w:rsid w:val="71A67062"/>
    <w:rsid w:val="71C42D19"/>
    <w:rsid w:val="71D31B4C"/>
    <w:rsid w:val="72161C3C"/>
    <w:rsid w:val="722A2352"/>
    <w:rsid w:val="723D0202"/>
    <w:rsid w:val="727F0134"/>
    <w:rsid w:val="728F7586"/>
    <w:rsid w:val="730151B2"/>
    <w:rsid w:val="733A4220"/>
    <w:rsid w:val="734656F8"/>
    <w:rsid w:val="739C68E8"/>
    <w:rsid w:val="740B71B4"/>
    <w:rsid w:val="744E2F44"/>
    <w:rsid w:val="745B46AA"/>
    <w:rsid w:val="74CF680E"/>
    <w:rsid w:val="74E07B93"/>
    <w:rsid w:val="74E75026"/>
    <w:rsid w:val="756B22EF"/>
    <w:rsid w:val="757E35C3"/>
    <w:rsid w:val="75842627"/>
    <w:rsid w:val="75C817D7"/>
    <w:rsid w:val="75E115A1"/>
    <w:rsid w:val="76703D20"/>
    <w:rsid w:val="76C26258"/>
    <w:rsid w:val="76F672D2"/>
    <w:rsid w:val="77F132D5"/>
    <w:rsid w:val="781F2ED3"/>
    <w:rsid w:val="78B477A7"/>
    <w:rsid w:val="78DE2B70"/>
    <w:rsid w:val="78E90A34"/>
    <w:rsid w:val="78EA13ED"/>
    <w:rsid w:val="795343FE"/>
    <w:rsid w:val="79D57166"/>
    <w:rsid w:val="7A354D01"/>
    <w:rsid w:val="7A3800BF"/>
    <w:rsid w:val="7A505962"/>
    <w:rsid w:val="7A861140"/>
    <w:rsid w:val="7AC100B8"/>
    <w:rsid w:val="7AD0472A"/>
    <w:rsid w:val="7AEE6AB0"/>
    <w:rsid w:val="7B123BA8"/>
    <w:rsid w:val="7B630D51"/>
    <w:rsid w:val="7BC664C3"/>
    <w:rsid w:val="7BCB39C9"/>
    <w:rsid w:val="7BE312D3"/>
    <w:rsid w:val="7BFA7D0A"/>
    <w:rsid w:val="7C802714"/>
    <w:rsid w:val="7C83206A"/>
    <w:rsid w:val="7CC31C2C"/>
    <w:rsid w:val="7CD453FB"/>
    <w:rsid w:val="7CEF1778"/>
    <w:rsid w:val="7D5B3833"/>
    <w:rsid w:val="7D9E4343"/>
    <w:rsid w:val="7DF7338C"/>
    <w:rsid w:val="7DFB7661"/>
    <w:rsid w:val="7E645570"/>
    <w:rsid w:val="7EEE14B5"/>
    <w:rsid w:val="7F3933BF"/>
    <w:rsid w:val="7F414603"/>
    <w:rsid w:val="7F8E64B8"/>
    <w:rsid w:val="7F9D09E3"/>
    <w:rsid w:val="7FAD46CC"/>
    <w:rsid w:val="7FB02D41"/>
    <w:rsid w:val="7FCD4874"/>
    <w:rsid w:val="7FF43FC9"/>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rules v:ext="edit">
        <o:r id="V:Rule1" type="connector" idref="#自选图形 185"/>
        <o:r id="V:Rule2" type="connector" idref="#自选图形 186"/>
        <o:r id="V:Rule3" type="connector" idref="#直接箭头连接符 34"/>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4">
    <w:name w:val="heading 1"/>
    <w:basedOn w:val="1"/>
    <w:next w:val="1"/>
    <w:qFormat/>
    <w:uiPriority w:val="0"/>
    <w:pPr>
      <w:keepNext/>
      <w:keepLines/>
      <w:spacing w:beforeLines="100" w:afterLines="100" w:line="360" w:lineRule="auto"/>
      <w:outlineLvl w:val="0"/>
    </w:pPr>
    <w:rPr>
      <w:rFonts w:ascii="Times New Roman" w:hAnsi="Times New Roman" w:eastAsia="宋体" w:cs="Times New Roman"/>
      <w:b/>
      <w:bCs/>
      <w:kern w:val="44"/>
      <w:sz w:val="28"/>
      <w:szCs w:val="44"/>
    </w:rPr>
  </w:style>
  <w:style w:type="paragraph" w:styleId="5">
    <w:name w:val="heading 2"/>
    <w:basedOn w:val="1"/>
    <w:next w:val="1"/>
    <w:semiHidden/>
    <w:unhideWhenUsed/>
    <w:qFormat/>
    <w:uiPriority w:val="9"/>
    <w:pPr>
      <w:keepNext/>
      <w:keepLines/>
      <w:spacing w:before="260" w:after="260" w:line="413" w:lineRule="auto"/>
      <w:outlineLvl w:val="1"/>
    </w:pPr>
    <w:rPr>
      <w:rFonts w:ascii="Arial" w:hAnsi="Arial" w:eastAsia="黑体"/>
      <w:b/>
      <w:sz w:val="32"/>
    </w:rPr>
  </w:style>
  <w:style w:type="character" w:default="1" w:styleId="15">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1"/>
    <w:qFormat/>
    <w:uiPriority w:val="0"/>
    <w:pPr>
      <w:overflowPunct w:val="0"/>
      <w:topLinePunct/>
      <w:spacing w:line="360" w:lineRule="auto"/>
      <w:ind w:firstLine="200" w:firstLineChars="200"/>
    </w:pPr>
    <w:rPr>
      <w:spacing w:val="4"/>
      <w:sz w:val="24"/>
      <w:szCs w:val="28"/>
    </w:rPr>
  </w:style>
  <w:style w:type="paragraph" w:styleId="3">
    <w:name w:val="Body Text Indent"/>
    <w:basedOn w:val="1"/>
    <w:qFormat/>
    <w:uiPriority w:val="0"/>
    <w:pPr>
      <w:ind w:firstLine="720" w:firstLineChars="257"/>
    </w:pPr>
    <w:rPr>
      <w:rFonts w:ascii="宋体" w:hAnsi="宋体" w:eastAsia="仿宋" w:cs="Times New Roman"/>
      <w:sz w:val="28"/>
      <w:szCs w:val="20"/>
    </w:rPr>
  </w:style>
  <w:style w:type="paragraph" w:styleId="6">
    <w:name w:val="Normal Indent"/>
    <w:basedOn w:val="1"/>
    <w:link w:val="34"/>
    <w:qFormat/>
    <w:uiPriority w:val="0"/>
    <w:pPr>
      <w:ind w:firstLine="420" w:firstLineChars="200"/>
    </w:pPr>
    <w:rPr>
      <w:rFonts w:ascii="Times New Roman" w:hAnsi="Times New Roman" w:eastAsia="宋体" w:cs="Times New Roman"/>
      <w:szCs w:val="24"/>
    </w:rPr>
  </w:style>
  <w:style w:type="paragraph" w:styleId="7">
    <w:name w:val="annotation text"/>
    <w:basedOn w:val="1"/>
    <w:semiHidden/>
    <w:unhideWhenUsed/>
    <w:qFormat/>
    <w:uiPriority w:val="99"/>
    <w:pPr>
      <w:jc w:val="left"/>
    </w:pPr>
  </w:style>
  <w:style w:type="paragraph" w:styleId="8">
    <w:name w:val="toc 3"/>
    <w:basedOn w:val="1"/>
    <w:next w:val="1"/>
    <w:unhideWhenUsed/>
    <w:qFormat/>
    <w:uiPriority w:val="39"/>
    <w:pPr>
      <w:ind w:left="840" w:leftChars="400"/>
    </w:pPr>
  </w:style>
  <w:style w:type="paragraph" w:styleId="9">
    <w:name w:val="footer"/>
    <w:basedOn w:val="1"/>
    <w:link w:val="19"/>
    <w:unhideWhenUsed/>
    <w:qFormat/>
    <w:uiPriority w:val="99"/>
    <w:pPr>
      <w:tabs>
        <w:tab w:val="center" w:pos="4153"/>
        <w:tab w:val="right" w:pos="8306"/>
      </w:tabs>
      <w:snapToGrid w:val="0"/>
      <w:jc w:val="left"/>
    </w:pPr>
    <w:rPr>
      <w:sz w:val="18"/>
      <w:szCs w:val="18"/>
    </w:rPr>
  </w:style>
  <w:style w:type="paragraph" w:styleId="10">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toc 1"/>
    <w:basedOn w:val="1"/>
    <w:next w:val="1"/>
    <w:unhideWhenUsed/>
    <w:qFormat/>
    <w:uiPriority w:val="39"/>
  </w:style>
  <w:style w:type="paragraph" w:styleId="12">
    <w:name w:val="toc 2"/>
    <w:basedOn w:val="1"/>
    <w:next w:val="1"/>
    <w:unhideWhenUsed/>
    <w:qFormat/>
    <w:uiPriority w:val="39"/>
    <w:pPr>
      <w:ind w:left="420" w:leftChars="200"/>
    </w:pPr>
  </w:style>
  <w:style w:type="paragraph" w:styleId="13">
    <w:name w:val="Normal (Web)"/>
    <w:qFormat/>
    <w:uiPriority w:val="99"/>
    <w:pPr>
      <w:spacing w:before="100" w:beforeAutospacing="1" w:after="100" w:afterAutospacing="1"/>
    </w:pPr>
    <w:rPr>
      <w:rFonts w:ascii="宋体" w:hAnsi="宋体" w:eastAsia="仿宋" w:cs="Times New Roman"/>
      <w:color w:val="000000"/>
      <w:sz w:val="24"/>
      <w:lang w:val="en-US" w:eastAsia="zh-CN" w:bidi="ar-SA"/>
    </w:rPr>
  </w:style>
  <w:style w:type="character" w:styleId="16">
    <w:name w:val="Hyperlink"/>
    <w:basedOn w:val="15"/>
    <w:unhideWhenUsed/>
    <w:qFormat/>
    <w:uiPriority w:val="99"/>
    <w:rPr>
      <w:color w:val="0000FF" w:themeColor="hyperlink"/>
      <w:u w:val="single"/>
    </w:rPr>
  </w:style>
  <w:style w:type="paragraph" w:customStyle="1" w:styleId="17">
    <w:name w:val="Default1"/>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18">
    <w:name w:val="页眉 Char"/>
    <w:basedOn w:val="15"/>
    <w:link w:val="10"/>
    <w:qFormat/>
    <w:uiPriority w:val="99"/>
    <w:rPr>
      <w:sz w:val="18"/>
      <w:szCs w:val="18"/>
    </w:rPr>
  </w:style>
  <w:style w:type="character" w:customStyle="1" w:styleId="19">
    <w:name w:val="页脚 Char"/>
    <w:basedOn w:val="15"/>
    <w:link w:val="9"/>
    <w:qFormat/>
    <w:uiPriority w:val="99"/>
    <w:rPr>
      <w:sz w:val="18"/>
      <w:szCs w:val="18"/>
    </w:rPr>
  </w:style>
  <w:style w:type="character" w:customStyle="1" w:styleId="20">
    <w:name w:val="未处理的提及1"/>
    <w:basedOn w:val="15"/>
    <w:semiHidden/>
    <w:unhideWhenUsed/>
    <w:qFormat/>
    <w:uiPriority w:val="99"/>
    <w:rPr>
      <w:color w:val="605E5C"/>
      <w:shd w:val="clear" w:color="auto" w:fill="E1DFDD"/>
    </w:rPr>
  </w:style>
  <w:style w:type="paragraph" w:customStyle="1" w:styleId="21">
    <w:name w:val="Char Char Char Char"/>
    <w:basedOn w:val="1"/>
    <w:qFormat/>
    <w:uiPriority w:val="0"/>
    <w:rPr>
      <w:rFonts w:ascii="Times New Roman" w:hAnsi="Times New Roman" w:eastAsia="宋体" w:cs="Times New Roman"/>
      <w:szCs w:val="24"/>
    </w:rPr>
  </w:style>
  <w:style w:type="paragraph" w:customStyle="1" w:styleId="22">
    <w:name w:val="标题小四"/>
    <w:basedOn w:val="1"/>
    <w:qFormat/>
    <w:uiPriority w:val="0"/>
    <w:pPr>
      <w:spacing w:line="500" w:lineRule="exact"/>
      <w:jc w:val="center"/>
    </w:pPr>
    <w:rPr>
      <w:rFonts w:ascii="宋体" w:hAnsi="宋体" w:eastAsia="宋体" w:cs="Times New Roman"/>
      <w:sz w:val="24"/>
      <w:szCs w:val="24"/>
    </w:rPr>
  </w:style>
  <w:style w:type="character" w:customStyle="1" w:styleId="23">
    <w:name w:val="表格正文 Char Char"/>
    <w:link w:val="24"/>
    <w:qFormat/>
    <w:uiPriority w:val="0"/>
    <w:rPr>
      <w:rFonts w:ascii="宋体"/>
      <w:snapToGrid w:val="0"/>
      <w:spacing w:val="4"/>
      <w:szCs w:val="21"/>
    </w:rPr>
  </w:style>
  <w:style w:type="paragraph" w:customStyle="1" w:styleId="24">
    <w:name w:val="表格正文"/>
    <w:basedOn w:val="1"/>
    <w:next w:val="1"/>
    <w:link w:val="23"/>
    <w:qFormat/>
    <w:uiPriority w:val="0"/>
    <w:pPr>
      <w:adjustRightInd w:val="0"/>
      <w:snapToGrid w:val="0"/>
      <w:jc w:val="center"/>
      <w:textAlignment w:val="baseline"/>
    </w:pPr>
    <w:rPr>
      <w:rFonts w:ascii="宋体"/>
      <w:snapToGrid w:val="0"/>
      <w:spacing w:val="4"/>
      <w:szCs w:val="21"/>
    </w:rPr>
  </w:style>
  <w:style w:type="paragraph" w:customStyle="1" w:styleId="25">
    <w:name w:val="Char Char Char Char1"/>
    <w:basedOn w:val="1"/>
    <w:qFormat/>
    <w:uiPriority w:val="0"/>
    <w:rPr>
      <w:rFonts w:ascii="Times New Roman" w:hAnsi="Times New Roman" w:eastAsia="宋体" w:cs="Times New Roman"/>
      <w:szCs w:val="24"/>
    </w:rPr>
  </w:style>
  <w:style w:type="paragraph" w:customStyle="1" w:styleId="26">
    <w:name w:val="样式5"/>
    <w:unhideWhenUsed/>
    <w:qFormat/>
    <w:uiPriority w:val="99"/>
    <w:pPr>
      <w:spacing w:beforeAutospacing="1" w:afterAutospacing="1" w:line="360" w:lineRule="auto"/>
      <w:ind w:firstLine="480" w:firstLineChars="200"/>
    </w:pPr>
    <w:rPr>
      <w:rFonts w:hint="eastAsia" w:ascii="宋体" w:hAnsi="宋体" w:eastAsia="仿宋" w:cs="Times New Roman"/>
      <w:color w:val="000000"/>
      <w:sz w:val="24"/>
      <w:lang w:val="en-US" w:eastAsia="zh-CN" w:bidi="ar-SA"/>
    </w:rPr>
  </w:style>
  <w:style w:type="paragraph" w:customStyle="1" w:styleId="27">
    <w:name w:val="填表5中"/>
    <w:next w:val="1"/>
    <w:qFormat/>
    <w:uiPriority w:val="0"/>
    <w:pPr>
      <w:widowControl w:val="0"/>
      <w:spacing w:line="240" w:lineRule="exact"/>
      <w:jc w:val="center"/>
    </w:pPr>
    <w:rPr>
      <w:rFonts w:ascii="宋体" w:hAnsi="Times New Roman" w:eastAsia="宋体" w:cs="Times New Roman"/>
      <w:kern w:val="2"/>
      <w:sz w:val="21"/>
      <w:szCs w:val="21"/>
      <w:lang w:val="en-US" w:eastAsia="zh-CN" w:bidi="ar-SA"/>
    </w:rPr>
  </w:style>
  <w:style w:type="paragraph" w:customStyle="1" w:styleId="28">
    <w:name w:val="样式1"/>
    <w:basedOn w:val="4"/>
    <w:unhideWhenUsed/>
    <w:qFormat/>
    <w:uiPriority w:val="99"/>
    <w:pPr>
      <w:numPr>
        <w:ilvl w:val="0"/>
        <w:numId w:val="1"/>
      </w:numPr>
      <w:spacing w:beforeLines="150" w:afterLines="0"/>
      <w:ind w:hanging="202" w:hangingChars="202"/>
      <w:jc w:val="center"/>
    </w:pPr>
    <w:rPr>
      <w:rFonts w:hint="eastAsia" w:ascii="宋体" w:hAnsi="宋体"/>
    </w:rPr>
  </w:style>
  <w:style w:type="paragraph" w:customStyle="1" w:styleId="29">
    <w:name w:val="WPSOffice手动目录 1"/>
    <w:qFormat/>
    <w:uiPriority w:val="0"/>
    <w:rPr>
      <w:rFonts w:ascii="Times New Roman" w:hAnsi="Times New Roman" w:eastAsia="宋体" w:cs="Times New Roman"/>
      <w:lang w:val="en-US" w:eastAsia="zh-CN" w:bidi="ar-SA"/>
    </w:rPr>
  </w:style>
  <w:style w:type="paragraph" w:customStyle="1" w:styleId="30">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31">
    <w:name w:val="WPSOffice手动目录 3"/>
    <w:qFormat/>
    <w:uiPriority w:val="0"/>
    <w:pPr>
      <w:ind w:left="400" w:leftChars="400"/>
    </w:pPr>
    <w:rPr>
      <w:rFonts w:ascii="Times New Roman" w:hAnsi="Times New Roman" w:eastAsia="宋体" w:cs="Times New Roman"/>
      <w:lang w:val="en-US" w:eastAsia="zh-CN" w:bidi="ar-SA"/>
    </w:rPr>
  </w:style>
  <w:style w:type="paragraph" w:customStyle="1" w:styleId="32">
    <w:name w:val="Char Char Char Char2"/>
    <w:basedOn w:val="1"/>
    <w:qFormat/>
    <w:uiPriority w:val="0"/>
    <w:rPr>
      <w:rFonts w:ascii="Times New Roman" w:hAnsi="Times New Roman" w:eastAsia="宋体" w:cs="Times New Roman"/>
      <w:szCs w:val="24"/>
    </w:rPr>
  </w:style>
  <w:style w:type="paragraph" w:styleId="33">
    <w:name w:val="List Paragraph"/>
    <w:basedOn w:val="1"/>
    <w:qFormat/>
    <w:uiPriority w:val="99"/>
    <w:pPr>
      <w:ind w:firstLine="420" w:firstLineChars="200"/>
    </w:pPr>
  </w:style>
  <w:style w:type="character" w:customStyle="1" w:styleId="34">
    <w:name w:val="正文缩进 Char"/>
    <w:basedOn w:val="15"/>
    <w:link w:val="6"/>
    <w:qFormat/>
    <w:uiPriority w:val="0"/>
    <w:rPr>
      <w:kern w:val="2"/>
      <w:sz w:val="21"/>
      <w:szCs w:val="24"/>
    </w:rPr>
  </w:style>
  <w:style w:type="paragraph" w:customStyle="1" w:styleId="35">
    <w:name w:val="书正文"/>
    <w:basedOn w:val="1"/>
    <w:qFormat/>
    <w:uiPriority w:val="0"/>
    <w:pPr>
      <w:adjustRightInd w:val="0"/>
      <w:spacing w:line="520" w:lineRule="exact"/>
      <w:ind w:firstLine="200" w:firstLineChars="200"/>
      <w:textAlignment w:val="baseline"/>
    </w:pPr>
    <w:rPr>
      <w:kern w:val="0"/>
      <w:sz w:val="24"/>
    </w:rPr>
  </w:style>
  <w:style w:type="character" w:customStyle="1" w:styleId="36">
    <w:name w:val="NormalCharacter"/>
    <w:qFormat/>
    <w:uiPriority w:val="0"/>
  </w:style>
  <w:style w:type="paragraph" w:customStyle="1" w:styleId="37">
    <w:name w:val="UserStyle_4"/>
    <w:basedOn w:val="1"/>
    <w:qFormat/>
    <w:uiPriority w:val="0"/>
    <w:pPr>
      <w:jc w:val="center"/>
    </w:pPr>
    <w:rPr>
      <w:rFonts w:ascii="宋体" w:hAnsi="宋体"/>
      <w:spacing w:val="-4"/>
      <w:w w:val="90"/>
      <w:kern w:val="0"/>
    </w:rPr>
  </w:style>
  <w:style w:type="paragraph" w:customStyle="1" w:styleId="38">
    <w:name w:val="HtmlNormal"/>
    <w:basedOn w:val="1"/>
    <w:qFormat/>
    <w:uiPriority w:val="0"/>
    <w:pPr>
      <w:spacing w:before="100" w:beforeAutospacing="1" w:after="100" w:afterAutospacing="1"/>
      <w:jc w:val="left"/>
    </w:pPr>
    <w:rPr>
      <w:rFonts w:ascii="宋体" w:hAnsi="宋体"/>
      <w:kern w:val="0"/>
    </w:rPr>
  </w:style>
  <w:style w:type="paragraph" w:customStyle="1" w:styleId="39">
    <w:name w:val="p0"/>
    <w:basedOn w:val="1"/>
    <w:qFormat/>
    <w:uiPriority w:val="99"/>
    <w:pPr>
      <w:widowControl/>
      <w:spacing w:line="360" w:lineRule="auto"/>
      <w:ind w:firstLine="420" w:firstLineChars="200"/>
    </w:pPr>
    <w:rPr>
      <w:kern w:val="0"/>
      <w:sz w:val="24"/>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5" Type="http://schemas.openxmlformats.org/officeDocument/2006/relationships/fontTable" Target="fontTable.xml"/><Relationship Id="rId74" Type="http://schemas.openxmlformats.org/officeDocument/2006/relationships/customXml" Target="../customXml/item2.xml"/><Relationship Id="rId73" Type="http://schemas.openxmlformats.org/officeDocument/2006/relationships/numbering" Target="numbering.xml"/><Relationship Id="rId72" Type="http://schemas.openxmlformats.org/officeDocument/2006/relationships/customXml" Target="../customXml/item1.xml"/><Relationship Id="rId71" Type="http://schemas.openxmlformats.org/officeDocument/2006/relationships/image" Target="media/image51.jpeg"/><Relationship Id="rId70" Type="http://schemas.openxmlformats.org/officeDocument/2006/relationships/image" Target="media/image50.jpeg"/><Relationship Id="rId7" Type="http://schemas.openxmlformats.org/officeDocument/2006/relationships/theme" Target="theme/theme1.xml"/><Relationship Id="rId69" Type="http://schemas.openxmlformats.org/officeDocument/2006/relationships/image" Target="media/image49.jpeg"/><Relationship Id="rId68" Type="http://schemas.openxmlformats.org/officeDocument/2006/relationships/image" Target="media/image48.jpeg"/><Relationship Id="rId67" Type="http://schemas.openxmlformats.org/officeDocument/2006/relationships/image" Target="media/image47.jpeg"/><Relationship Id="rId66" Type="http://schemas.openxmlformats.org/officeDocument/2006/relationships/image" Target="media/image46.png"/><Relationship Id="rId65" Type="http://schemas.openxmlformats.org/officeDocument/2006/relationships/image" Target="media/image45.jpeg"/><Relationship Id="rId64" Type="http://schemas.openxmlformats.org/officeDocument/2006/relationships/image" Target="media/image44.jpeg"/><Relationship Id="rId63" Type="http://schemas.openxmlformats.org/officeDocument/2006/relationships/image" Target="media/image43.jpeg"/><Relationship Id="rId62" Type="http://schemas.openxmlformats.org/officeDocument/2006/relationships/image" Target="media/image42.jpeg"/><Relationship Id="rId61" Type="http://schemas.openxmlformats.org/officeDocument/2006/relationships/image" Target="media/image41.jpeg"/><Relationship Id="rId60" Type="http://schemas.openxmlformats.org/officeDocument/2006/relationships/image" Target="media/image40.jpeg"/><Relationship Id="rId6" Type="http://schemas.openxmlformats.org/officeDocument/2006/relationships/footer" Target="footer3.xml"/><Relationship Id="rId59" Type="http://schemas.openxmlformats.org/officeDocument/2006/relationships/image" Target="media/image39.jpeg"/><Relationship Id="rId58" Type="http://schemas.openxmlformats.org/officeDocument/2006/relationships/image" Target="media/image38.png"/><Relationship Id="rId57" Type="http://schemas.openxmlformats.org/officeDocument/2006/relationships/image" Target="media/image37.jpeg"/><Relationship Id="rId56" Type="http://schemas.openxmlformats.org/officeDocument/2006/relationships/image" Target="media/image36.jpeg"/><Relationship Id="rId55" Type="http://schemas.openxmlformats.org/officeDocument/2006/relationships/image" Target="media/image35.png"/><Relationship Id="rId54" Type="http://schemas.openxmlformats.org/officeDocument/2006/relationships/image" Target="media/image34.jpeg"/><Relationship Id="rId53" Type="http://schemas.openxmlformats.org/officeDocument/2006/relationships/image" Target="media/image33.jpeg"/><Relationship Id="rId52" Type="http://schemas.openxmlformats.org/officeDocument/2006/relationships/image" Target="media/image32.jpeg"/><Relationship Id="rId51" Type="http://schemas.openxmlformats.org/officeDocument/2006/relationships/image" Target="media/image31.jpeg"/><Relationship Id="rId50" Type="http://schemas.openxmlformats.org/officeDocument/2006/relationships/image" Target="media/image30.jpeg"/><Relationship Id="rId5" Type="http://schemas.openxmlformats.org/officeDocument/2006/relationships/footer" Target="footer2.xml"/><Relationship Id="rId49" Type="http://schemas.openxmlformats.org/officeDocument/2006/relationships/image" Target="media/image29.jpeg"/><Relationship Id="rId48" Type="http://schemas.openxmlformats.org/officeDocument/2006/relationships/image" Target="media/image28.jpeg"/><Relationship Id="rId47" Type="http://schemas.openxmlformats.org/officeDocument/2006/relationships/image" Target="media/image27.jpeg"/><Relationship Id="rId46" Type="http://schemas.openxmlformats.org/officeDocument/2006/relationships/image" Target="media/image26.jpeg"/><Relationship Id="rId45" Type="http://schemas.openxmlformats.org/officeDocument/2006/relationships/image" Target="media/image25.jpeg"/><Relationship Id="rId44" Type="http://schemas.openxmlformats.org/officeDocument/2006/relationships/image" Target="media/image24.jpeg"/><Relationship Id="rId43" Type="http://schemas.openxmlformats.org/officeDocument/2006/relationships/image" Target="media/image23.jpeg"/><Relationship Id="rId42" Type="http://schemas.openxmlformats.org/officeDocument/2006/relationships/image" Target="media/image22.jpeg"/><Relationship Id="rId41" Type="http://schemas.openxmlformats.org/officeDocument/2006/relationships/image" Target="media/image21.jpeg"/><Relationship Id="rId40" Type="http://schemas.openxmlformats.org/officeDocument/2006/relationships/image" Target="media/image20.jpeg"/><Relationship Id="rId4" Type="http://schemas.openxmlformats.org/officeDocument/2006/relationships/footer" Target="footer1.xml"/><Relationship Id="rId39" Type="http://schemas.openxmlformats.org/officeDocument/2006/relationships/image" Target="media/image19.jpeg"/><Relationship Id="rId38" Type="http://schemas.openxmlformats.org/officeDocument/2006/relationships/image" Target="media/image18.jpeg"/><Relationship Id="rId37" Type="http://schemas.openxmlformats.org/officeDocument/2006/relationships/image" Target="media/image17.jpeg"/><Relationship Id="rId36" Type="http://schemas.openxmlformats.org/officeDocument/2006/relationships/image" Target="media/image16.jpeg"/><Relationship Id="rId35" Type="http://schemas.openxmlformats.org/officeDocument/2006/relationships/image" Target="media/image15.jpeg"/><Relationship Id="rId34" Type="http://schemas.openxmlformats.org/officeDocument/2006/relationships/image" Target="media/image14.png"/><Relationship Id="rId33" Type="http://schemas.openxmlformats.org/officeDocument/2006/relationships/image" Target="media/image13.png"/><Relationship Id="rId32" Type="http://schemas.openxmlformats.org/officeDocument/2006/relationships/image" Target="media/image12.wmf"/><Relationship Id="rId31" Type="http://schemas.openxmlformats.org/officeDocument/2006/relationships/oleObject" Target="embeddings/oleObject13.bin"/><Relationship Id="rId30" Type="http://schemas.openxmlformats.org/officeDocument/2006/relationships/image" Target="media/image11.png"/><Relationship Id="rId3" Type="http://schemas.openxmlformats.org/officeDocument/2006/relationships/header" Target="header1.xml"/><Relationship Id="rId29" Type="http://schemas.openxmlformats.org/officeDocument/2006/relationships/image" Target="media/image10.jpeg"/><Relationship Id="rId28" Type="http://schemas.openxmlformats.org/officeDocument/2006/relationships/image" Target="media/image9.jpeg"/><Relationship Id="rId27" Type="http://schemas.openxmlformats.org/officeDocument/2006/relationships/image" Target="media/image8.emf"/><Relationship Id="rId26" Type="http://schemas.openxmlformats.org/officeDocument/2006/relationships/oleObject" Target="embeddings/oleObject12.bin"/><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oleObject" Target="embeddings/oleObject11.bin"/><Relationship Id="rId22" Type="http://schemas.openxmlformats.org/officeDocument/2006/relationships/oleObject" Target="embeddings/oleObject10.bin"/><Relationship Id="rId21" Type="http://schemas.openxmlformats.org/officeDocument/2006/relationships/oleObject" Target="embeddings/oleObject9.bin"/><Relationship Id="rId20" Type="http://schemas.openxmlformats.org/officeDocument/2006/relationships/image" Target="media/image5.wmf"/><Relationship Id="rId2" Type="http://schemas.openxmlformats.org/officeDocument/2006/relationships/settings" Target="settings.xml"/><Relationship Id="rId19" Type="http://schemas.openxmlformats.org/officeDocument/2006/relationships/oleObject" Target="embeddings/oleObject8.bin"/><Relationship Id="rId18" Type="http://schemas.openxmlformats.org/officeDocument/2006/relationships/oleObject" Target="embeddings/oleObject7.bin"/><Relationship Id="rId17" Type="http://schemas.openxmlformats.org/officeDocument/2006/relationships/oleObject" Target="embeddings/oleObject6.bin"/><Relationship Id="rId16" Type="http://schemas.openxmlformats.org/officeDocument/2006/relationships/oleObject" Target="embeddings/oleObject5.bin"/><Relationship Id="rId15" Type="http://schemas.openxmlformats.org/officeDocument/2006/relationships/oleObject" Target="embeddings/oleObject4.bin"/><Relationship Id="rId14" Type="http://schemas.openxmlformats.org/officeDocument/2006/relationships/oleObject" Target="embeddings/oleObject3.bin"/><Relationship Id="rId13" Type="http://schemas.openxmlformats.org/officeDocument/2006/relationships/image" Target="media/image4.wmf"/><Relationship Id="rId12" Type="http://schemas.openxmlformats.org/officeDocument/2006/relationships/oleObject" Target="embeddings/oleObject2.bin"/><Relationship Id="rId11" Type="http://schemas.openxmlformats.org/officeDocument/2006/relationships/image" Target="media/image3.wmf"/><Relationship Id="rId10" Type="http://schemas.openxmlformats.org/officeDocument/2006/relationships/oleObject" Target="embeddings/oleObject1.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3073"/>
    <customShpInfo spid="_x0000_s3074"/>
    <customShpInfo spid="_x0000_s2070"/>
    <customShpInfo spid="_x0000_s2071"/>
    <customShpInfo spid="_x0000_s2074"/>
    <customShpInfo spid="_x0000_s2075"/>
    <customShpInfo spid="_x0000_s2076"/>
    <customShpInfo spid="_x0000_s2077"/>
    <customShpInfo spid="_x0000_s2069"/>
    <customShpInfo spid="_x0000_s2078"/>
    <customShpInfo spid="_x0000_s2116"/>
    <customShpInfo spid="_x0000_s2079"/>
    <customShpInfo spid="_x0000_s2080"/>
    <customShpInfo spid="_x0000_s2081"/>
    <customShpInfo spid="_x0000_s2082"/>
    <customShpInfo spid="_x0000_s2083"/>
    <customShpInfo spid="_x0000_s2084"/>
    <customShpInfo spid="_x0000_s2085"/>
    <customShpInfo spid="_x0000_s2086"/>
    <customShpInfo spid="_x0000_s2087"/>
    <customShpInfo spid="_x0000_s2088"/>
    <customShpInfo spid="_x0000_s2089"/>
    <customShpInfo spid="_x0000_s2090"/>
    <customShpInfo spid="_x0000_s2091"/>
    <customShpInfo spid="_x0000_s2092"/>
    <customShpInfo spid="_x0000_s2093"/>
    <customShpInfo spid="_x0000_s2094"/>
    <customShpInfo spid="_x0000_s2096"/>
    <customShpInfo spid="_x0000_s2097"/>
    <customShpInfo spid="_x0000_s2098"/>
    <customShpInfo spid="_x0000_s2099"/>
    <customShpInfo spid="_x0000_s2100"/>
    <customShpInfo spid="_x0000_s2101"/>
    <customShpInfo spid="_x0000_s2102"/>
    <customShpInfo spid="_x0000_s2103"/>
    <customShpInfo spid="_x0000_s2104"/>
    <customShpInfo spid="_x0000_s2105"/>
    <customShpInfo spid="_x0000_s2106"/>
    <customShpInfo spid="_x0000_s2107"/>
    <customShpInfo spid="_x0000_s2108"/>
    <customShpInfo spid="_x0000_s2095"/>
    <customShpInfo spid="_x0000_s2109"/>
    <customShpInfo spid="_x0000_s211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06D75B7-EB3A-4621-9BAA-4BD668B18A66}">
  <ds:schemaRefs/>
</ds:datastoreItem>
</file>

<file path=docProps/app.xml><?xml version="1.0" encoding="utf-8"?>
<Properties xmlns="http://schemas.openxmlformats.org/officeDocument/2006/extended-properties" xmlns:vt="http://schemas.openxmlformats.org/officeDocument/2006/docPropsVTypes">
  <Template>Normal</Template>
  <Pages>1</Pages>
  <Words>9044</Words>
  <Characters>51557</Characters>
  <Lines>429</Lines>
  <Paragraphs>120</Paragraphs>
  <TotalTime>0</TotalTime>
  <ScaleCrop>false</ScaleCrop>
  <LinksUpToDate>false</LinksUpToDate>
  <CharactersWithSpaces>60481</CharactersWithSpaces>
  <Application>WPS Office_11.1.0.9208_F1E327BC-269C-435d-A152-05C5408002CA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2019-06-13T08:00:00Z</dcterms:created>
  <dc:creator>User</dc:creator>
  <cp:lastModifiedBy>东望洋</cp:lastModifiedBy>
  <cp:lastPrinted>2019-07-03T12:12:00Z</cp:lastPrinted>
  <dcterms:modified xsi:type="dcterms:W3CDTF">2019-11-30T10:16:22Z</dcterms:modified>
  <cp:revision>166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ies>
</file>